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68834B">
      <w:pPr>
        <w:tabs>
          <w:tab w:val="left" w:pos="9072"/>
          <w:tab w:val="left" w:pos="9498"/>
        </w:tabs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pPr>
      <w:bookmarkStart w:id="1" w:name="_GoBack"/>
      <w:bookmarkEnd w:id="1"/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  <w:t>Муниципальное автономное общеобразовательное учреждение</w:t>
      </w:r>
    </w:p>
    <w:p w14:paraId="1187707B"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  <w:t>«Нурлатская гимназия имени Героя Советского Союза Михаила Егоровича Сергеева» г. Нурлат Республики Татарстан</w:t>
      </w:r>
    </w:p>
    <w:p w14:paraId="7A26E9C5">
      <w:pPr>
        <w:tabs>
          <w:tab w:val="left" w:pos="5325"/>
          <w:tab w:val="left" w:pos="649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</w:p>
    <w:p w14:paraId="3B42C582">
      <w:pPr>
        <w:tabs>
          <w:tab w:val="left" w:pos="5325"/>
          <w:tab w:val="left" w:pos="649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</w:p>
    <w:p w14:paraId="0ABABF4E">
      <w:pPr>
        <w:tabs>
          <w:tab w:val="left" w:pos="5325"/>
          <w:tab w:val="left" w:pos="649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</w:p>
    <w:p w14:paraId="2AB39BC7">
      <w:pPr>
        <w:tabs>
          <w:tab w:val="left" w:pos="5325"/>
          <w:tab w:val="left" w:pos="649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3177540</wp:posOffset>
                </wp:positionH>
                <wp:positionV relativeFrom="paragraph">
                  <wp:posOffset>-16510</wp:posOffset>
                </wp:positionV>
                <wp:extent cx="3028950" cy="1403985"/>
                <wp:effectExtent l="0" t="0" r="3810" b="13335"/>
                <wp:wrapNone/>
                <wp:docPr id="1" name="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C646A49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eastAsia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eastAsia="Calibri" w:cs="Times New Roman"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14:paraId="30D0E3F6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eastAsia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eastAsia="Calibri" w:cs="Times New Roman"/>
                                <w:sz w:val="24"/>
                                <w:szCs w:val="24"/>
                              </w:rPr>
                              <w:t>директор МАОУ «Нурлатская гимназия</w:t>
                            </w:r>
                          </w:p>
                          <w:p w14:paraId="61E5615C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eastAsia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eastAsia="Calibri" w:cs="Times New Roman"/>
                                <w:sz w:val="24"/>
                                <w:szCs w:val="24"/>
                              </w:rPr>
                              <w:t>им. М.Е.Сергеева» г. Нурлат</w:t>
                            </w:r>
                          </w:p>
                          <w:p w14:paraId="56DEF689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eastAsia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eastAsia="Calibri" w:cs="Times New Roman"/>
                                <w:sz w:val="24"/>
                                <w:szCs w:val="24"/>
                              </w:rPr>
                              <w:t>__________________ Х.Р.Алимов</w:t>
                            </w:r>
                          </w:p>
                          <w:p w14:paraId="69C58853">
                            <w:pPr>
                              <w:jc w:val="right"/>
                            </w:pPr>
                            <w:r>
                              <w:rPr>
                                <w:rFonts w:ascii="Times New Roman" w:hAnsi="Times New Roman" w:eastAsia="Calibri" w:cs="Times New Roman"/>
                                <w:sz w:val="24"/>
                                <w:szCs w:val="24"/>
                              </w:rPr>
                              <w:t>Приказ №______ от ________ г.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1027" o:spid="_x0000_s1026" o:spt="202" type="#_x0000_t202" style="position:absolute;left:0pt;margin-left:250.2pt;margin-top:-1.3pt;height:110.55pt;width:238.5pt;z-index:251659264;mso-width-relative:margin;mso-height-relative:margin;mso-height-percent:200;" fillcolor="#FFFFFF" filled="t" stroked="f" coordsize="21600,21600" o:gfxdata="UEsDBAoAAAAAAIdO4kAAAAAAAAAAAAAAAAAEAAAAZHJzL1BLAwQUAAAACACHTuJAzGh6btkAAAAK&#10;AQAADwAAAGRycy9kb3ducmV2LnhtbE2Py07DMBBF90j8gzVI7Fo7EekjjVMhKjYskChIsHRjJ46w&#10;x5btpuHvMSu6nJmjO+c2+9kaMqkQR4cciiUDorBzcsSBw8f782IDJCaBUhiHisOPirBvb28aUUt3&#10;wTc1HdNAcgjGWnDQKfma0thpZUVcOq8w33oXrEh5DAOVQVxyuDW0ZGxFrRgxf9DCqyetuu/j2XL4&#10;tHqUh/D61UszHV76x8rPwXN+f1ewHZCk5vQPw59+Voc2O53cGWUkhkPF2ENGOSzKFZAMbNfrvDhx&#10;KItNBbRt6HWF9hdQSwMEFAAAAAgAh07iQMTsxji6AQAAiwMAAA4AAABkcnMvZTJvRG9jLnhtbK1T&#10;wY7bIBC9V+o/IO6N7Wy3zVpxVttG6aVqK237AQRjGwkYxJDY+fsO2M2228se1gcMM4/HvDewvZ+s&#10;YWcVUINreLUqOVNOQqtd3/BfPw/vNpxhFK4VBpxq+EUhv9+9fbMdfa3WMIBpVWBE4rAefcOHGH1d&#10;FCgHZQWuwCtHyQ6CFZGWoS/aIEZit6ZYl+WHYoTQ+gBSIVJ0Pyf5whheQghdp6XagzxZ5eLMGpQR&#10;kSThoD3yXa6265SM37sOVWSm4aQ05pEOofkxjcVuK+o+CD9ouZQgXlLCM01WaEeHXqn2Igp2Cvo/&#10;KqtlAIQuriTYYhaSHSEVVfnMm8dBeJW1kNXor6bj69HKb+cfgemWbgJnTlhqeFWuPyZfRo81pR89&#10;AeL0CaaEWeJIwSR36oJNfxLCKE+uXq6uqikyScGbcr25u6WUpFz1vry529wmnuJpuw8YvyiwLE0a&#10;Hqht2U1x/opxhv6BpNMQjG4P2pi8CP3xswnsLKjFh/wt7P/AjEtgB2nbzJgiRRI5i0mzOB2nReER&#10;2gsJP/mg+4FqqnJB6B9OkThyUWnHDFuIqEdZ1nKf0iX4e51RT29o9x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MaHpu2QAAAAoBAAAPAAAAAAAAAAEAIAAAACIAAABkcnMvZG93bnJldi54bWxQSwEC&#10;FAAUAAAACACHTuJAxOzGOLoBAACLAwAADgAAAAAAAAABACAAAAAoAQAAZHJzL2Uyb0RvYy54bWxQ&#10;SwUGAAAAAAYABgBZAQAAVAUAAAAA&#10;">
                <v:fill on="t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6C646A49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eastAsia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eastAsia="Calibri" w:cs="Times New Roman"/>
                          <w:sz w:val="24"/>
                          <w:szCs w:val="24"/>
                        </w:rPr>
                        <w:t>Утверждаю</w:t>
                      </w:r>
                    </w:p>
                    <w:p w14:paraId="30D0E3F6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eastAsia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eastAsia="Calibri" w:cs="Times New Roman"/>
                          <w:sz w:val="24"/>
                          <w:szCs w:val="24"/>
                        </w:rPr>
                        <w:t>директор МАОУ «Нурлатская гимназия</w:t>
                      </w:r>
                    </w:p>
                    <w:p w14:paraId="61E5615C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eastAsia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eastAsia="Calibri" w:cs="Times New Roman"/>
                          <w:sz w:val="24"/>
                          <w:szCs w:val="24"/>
                        </w:rPr>
                        <w:t>им. М.Е.Сергеева» г. Нурлат</w:t>
                      </w:r>
                    </w:p>
                    <w:p w14:paraId="56DEF689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eastAsia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eastAsia="Calibri" w:cs="Times New Roman"/>
                          <w:sz w:val="24"/>
                          <w:szCs w:val="24"/>
                        </w:rPr>
                        <w:t>__________________ Х.Р.Алимов</w:t>
                      </w:r>
                    </w:p>
                    <w:p w14:paraId="69C58853">
                      <w:pPr>
                        <w:jc w:val="right"/>
                      </w:pPr>
                      <w:r>
                        <w:rPr>
                          <w:rFonts w:ascii="Times New Roman" w:hAnsi="Times New Roman" w:eastAsia="Calibri" w:cs="Times New Roman"/>
                          <w:sz w:val="24"/>
                          <w:szCs w:val="24"/>
                        </w:rPr>
                        <w:t>Приказ №______ от ________ г.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>Принят на заседании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ab/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ab/>
      </w:r>
    </w:p>
    <w:p w14:paraId="2F7FC0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>педагогического совета</w:t>
      </w:r>
    </w:p>
    <w:p w14:paraId="1B8D73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>Протокол № ____</w:t>
      </w:r>
    </w:p>
    <w:p w14:paraId="75CDFF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>от «____» ________ 20___ года</w:t>
      </w:r>
    </w:p>
    <w:p w14:paraId="1D88519F"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p w14:paraId="6B1000A3"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p w14:paraId="642192A0"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p w14:paraId="0E0C8C29"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p w14:paraId="46F7FE1D"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p w14:paraId="0591418C">
      <w:pPr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p w14:paraId="2BF64D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eastAsia="Calibri" w:cs="Times New Roman,BoldItalic"/>
          <w:b/>
          <w:bCs/>
          <w:i/>
          <w:iCs/>
          <w:sz w:val="36"/>
          <w:szCs w:val="36"/>
          <w:lang w:eastAsia="en-US"/>
        </w:rPr>
      </w:pPr>
      <w:r>
        <w:rPr>
          <w:rFonts w:ascii="Calibri" w:hAnsi="Calibri" w:eastAsia="Calibri" w:cs="Times New Roman,BoldItalic"/>
          <w:b/>
          <w:bCs/>
          <w:i/>
          <w:iCs/>
          <w:sz w:val="36"/>
          <w:szCs w:val="36"/>
          <w:lang w:eastAsia="en-US"/>
        </w:rPr>
        <w:t>ДОПОЛНИТЕЛЬНАЯ ОБЩЕОБРАЗОВАТЕЛЬНАЯ</w:t>
      </w:r>
    </w:p>
    <w:p w14:paraId="487664E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eastAsia="Calibri" w:cs="Times New Roman,BoldItalic"/>
          <w:b/>
          <w:bCs/>
          <w:i/>
          <w:iCs/>
          <w:sz w:val="36"/>
          <w:szCs w:val="36"/>
          <w:lang w:eastAsia="en-US"/>
        </w:rPr>
      </w:pPr>
      <w:r>
        <w:rPr>
          <w:rFonts w:ascii="Calibri" w:hAnsi="Calibri" w:eastAsia="Calibri" w:cs="Times New Roman,BoldItalic"/>
          <w:b/>
          <w:bCs/>
          <w:i/>
          <w:iCs/>
          <w:sz w:val="36"/>
          <w:szCs w:val="36"/>
          <w:lang w:eastAsia="en-US"/>
        </w:rPr>
        <w:t>ОБЩЕРАЗВИВАЮЩАЯ ПРОГРАММА</w:t>
      </w:r>
    </w:p>
    <w:p w14:paraId="79E42BE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eastAsia="Calibri" w:cs="Times New Roman,BoldItalic"/>
          <w:b/>
          <w:bCs/>
          <w:i/>
          <w:iCs/>
          <w:sz w:val="36"/>
          <w:szCs w:val="36"/>
          <w:lang w:eastAsia="en-US"/>
        </w:rPr>
      </w:pPr>
    </w:p>
    <w:p w14:paraId="6E99197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eastAsia="Calibri" w:cs="Times New Roman,BoldItalic"/>
          <w:b/>
          <w:bCs/>
          <w:i/>
          <w:iCs/>
          <w:sz w:val="36"/>
          <w:szCs w:val="36"/>
          <w:lang w:eastAsia="en-US"/>
        </w:rPr>
      </w:pPr>
      <w:r>
        <w:rPr>
          <w:rFonts w:ascii="Calibri" w:hAnsi="Calibri" w:eastAsia="Calibri" w:cs="Times New Roman,BoldItalic"/>
          <w:b/>
          <w:bCs/>
          <w:i/>
          <w:iCs/>
          <w:sz w:val="36"/>
          <w:szCs w:val="36"/>
          <w:lang w:eastAsia="en-US"/>
        </w:rPr>
        <w:t>«Разговор о правильном питании»</w:t>
      </w:r>
    </w:p>
    <w:p w14:paraId="1EC86B6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eastAsia="Calibri" w:cs="Times New Roman,BoldItalic"/>
          <w:b/>
          <w:bCs/>
          <w:i/>
          <w:iCs/>
          <w:sz w:val="36"/>
          <w:szCs w:val="36"/>
          <w:lang w:eastAsia="en-US"/>
        </w:rPr>
      </w:pPr>
    </w:p>
    <w:p w14:paraId="5C5099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eastAsia="Calibri" w:cs="Times New Roman,BoldItalic"/>
          <w:b/>
          <w:bCs/>
          <w:i/>
          <w:iCs/>
          <w:sz w:val="28"/>
          <w:szCs w:val="28"/>
          <w:lang w:eastAsia="en-US"/>
        </w:rPr>
      </w:pPr>
    </w:p>
    <w:p w14:paraId="2930B3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i/>
          <w:sz w:val="28"/>
          <w:szCs w:val="28"/>
          <w:lang w:eastAsia="en-US"/>
        </w:rPr>
      </w:pPr>
      <w:r>
        <w:rPr>
          <w:rFonts w:ascii="Times New Roman,BoldItalic" w:hAnsi="Times New Roman,BoldItalic" w:eastAsia="Calibri" w:cs="Times New Roman,BoldItalic"/>
          <w:b/>
          <w:bCs/>
          <w:i/>
          <w:iCs/>
          <w:sz w:val="28"/>
          <w:szCs w:val="28"/>
          <w:lang w:eastAsia="en-US"/>
        </w:rPr>
        <w:t>Направленность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eastAsia="Calibri" w:cs="Times New Roman"/>
          <w:i/>
          <w:sz w:val="28"/>
          <w:szCs w:val="28"/>
          <w:lang w:eastAsia="en-US"/>
        </w:rPr>
        <w:t>естественно-научная</w:t>
      </w:r>
    </w:p>
    <w:p w14:paraId="0A94A5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,BoldItalic" w:hAnsi="Times New Roman,BoldItalic" w:eastAsia="Calibri" w:cs="Times New Roman,BoldItalic"/>
          <w:b/>
          <w:bCs/>
          <w:i/>
          <w:iCs/>
          <w:sz w:val="28"/>
          <w:szCs w:val="28"/>
          <w:lang w:eastAsia="en-US"/>
        </w:rPr>
        <w:t>Возраст учащихся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>: 11-12 лет</w:t>
      </w:r>
    </w:p>
    <w:p w14:paraId="0CB718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,BoldItalic" w:hAnsi="Times New Roman,BoldItalic" w:eastAsia="Calibri" w:cs="Times New Roman,BoldItalic"/>
          <w:b/>
          <w:bCs/>
          <w:i/>
          <w:iCs/>
          <w:sz w:val="28"/>
          <w:szCs w:val="28"/>
          <w:lang w:eastAsia="en-US"/>
        </w:rPr>
        <w:t>Срок реализации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>: 1 год (34 часа)</w:t>
      </w:r>
    </w:p>
    <w:p w14:paraId="6786C6A6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eastAsia="Calibri" w:cs="Times New Roman,BoldItalic"/>
          <w:b/>
          <w:bCs/>
          <w:i/>
          <w:iCs/>
          <w:sz w:val="28"/>
          <w:szCs w:val="28"/>
          <w:lang w:eastAsia="en-US"/>
        </w:rPr>
      </w:pPr>
    </w:p>
    <w:p w14:paraId="32B9BC57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eastAsia="Calibri" w:cs="Times New Roman,BoldItalic"/>
          <w:b/>
          <w:bCs/>
          <w:i/>
          <w:iCs/>
          <w:sz w:val="28"/>
          <w:szCs w:val="28"/>
          <w:lang w:eastAsia="en-US"/>
        </w:rPr>
      </w:pPr>
    </w:p>
    <w:p w14:paraId="233B78C5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eastAsia="Calibri" w:cs="Times New Roman,BoldItalic"/>
          <w:b/>
          <w:bCs/>
          <w:i/>
          <w:iCs/>
          <w:sz w:val="28"/>
          <w:szCs w:val="28"/>
          <w:lang w:eastAsia="en-US"/>
        </w:rPr>
      </w:pPr>
    </w:p>
    <w:p w14:paraId="7A607FCB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eastAsia="Calibri" w:cs="Times New Roman,BoldItalic"/>
          <w:b/>
          <w:bCs/>
          <w:i/>
          <w:iCs/>
          <w:sz w:val="28"/>
          <w:szCs w:val="28"/>
          <w:lang w:eastAsia="en-US"/>
        </w:rPr>
      </w:pPr>
    </w:p>
    <w:p w14:paraId="7FE95553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eastAsia="Calibri" w:cs="Times New Roman,BoldItalic"/>
          <w:b/>
          <w:bCs/>
          <w:i/>
          <w:iCs/>
          <w:sz w:val="28"/>
          <w:szCs w:val="28"/>
          <w:lang w:eastAsia="en-US"/>
        </w:rPr>
      </w:pPr>
    </w:p>
    <w:p w14:paraId="645ED136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eastAsia="Calibri" w:cs="Times New Roman,BoldItalic"/>
          <w:b/>
          <w:bCs/>
          <w:i/>
          <w:iCs/>
          <w:sz w:val="28"/>
          <w:szCs w:val="28"/>
          <w:lang w:eastAsia="en-US"/>
        </w:rPr>
      </w:pPr>
    </w:p>
    <w:p w14:paraId="682D8C4A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eastAsia="Calibri" w:cs="Times New Roman,BoldItalic"/>
          <w:b/>
          <w:bCs/>
          <w:i/>
          <w:iCs/>
          <w:sz w:val="28"/>
          <w:szCs w:val="28"/>
          <w:lang w:eastAsia="en-US"/>
        </w:rPr>
      </w:pPr>
    </w:p>
    <w:p w14:paraId="29F8BD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Italic" w:hAnsi="Times New Roman,BoldItalic" w:eastAsia="Calibri" w:cs="Times New Roman,BoldItalic"/>
          <w:b/>
          <w:bCs/>
          <w:iCs/>
          <w:sz w:val="28"/>
          <w:szCs w:val="28"/>
          <w:lang w:eastAsia="en-US"/>
        </w:rPr>
      </w:pPr>
      <w:r>
        <w:rPr>
          <w:rFonts w:ascii="Times New Roman,BoldItalic" w:hAnsi="Times New Roman,BoldItalic" w:eastAsia="Calibri" w:cs="Times New Roman,BoldItalic"/>
          <w:b/>
          <w:bCs/>
          <w:iCs/>
          <w:sz w:val="28"/>
          <w:szCs w:val="28"/>
          <w:lang w:eastAsia="en-US"/>
        </w:rPr>
        <w:t>Автор-составитель:</w:t>
      </w:r>
    </w:p>
    <w:p w14:paraId="0FD141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Italic" w:hAnsi="Times New Roman,BoldItalic" w:eastAsia="Calibri" w:cs="Times New Roman,BoldItalic"/>
          <w:b/>
          <w:bCs/>
          <w:iCs/>
          <w:sz w:val="28"/>
          <w:szCs w:val="28"/>
          <w:lang w:eastAsia="en-US"/>
        </w:rPr>
      </w:pPr>
      <w:r>
        <w:rPr>
          <w:rFonts w:hAnsi="Times New Roman,BoldItalic" w:eastAsia="Calibri" w:cs="Times New Roman,BoldItalic"/>
          <w:b/>
          <w:bCs/>
          <w:iCs/>
          <w:sz w:val="28"/>
          <w:szCs w:val="28"/>
          <w:lang w:val="tt-RU" w:eastAsia="en-US"/>
        </w:rPr>
        <w:t>Мустафина Р.И.</w:t>
      </w:r>
    </w:p>
    <w:p w14:paraId="3EDD3125">
      <w:pPr>
        <w:autoSpaceDE w:val="0"/>
        <w:autoSpaceDN w:val="0"/>
        <w:adjustRightInd w:val="0"/>
        <w:spacing w:after="0" w:line="240" w:lineRule="auto"/>
        <w:jc w:val="right"/>
        <w:rPr>
          <w:rFonts w:hAnsi="Times New Roman,BoldItalic" w:eastAsia="Calibri" w:cs="Times New Roman,BoldItalic"/>
          <w:b/>
          <w:bCs/>
          <w:iCs/>
          <w:sz w:val="28"/>
          <w:szCs w:val="28"/>
          <w:lang w:val="tt-RU" w:eastAsia="en-US"/>
        </w:rPr>
      </w:pPr>
      <w:r>
        <w:rPr>
          <w:rFonts w:ascii="Times New Roman,BoldItalic" w:hAnsi="Times New Roman,BoldItalic" w:eastAsia="Calibri" w:cs="Times New Roman,BoldItalic"/>
          <w:b/>
          <w:bCs/>
          <w:iCs/>
          <w:sz w:val="28"/>
          <w:szCs w:val="28"/>
          <w:lang w:eastAsia="en-US"/>
        </w:rPr>
        <w:t xml:space="preserve">учитель </w:t>
      </w:r>
      <w:r>
        <w:rPr>
          <w:rFonts w:hAnsi="Times New Roman,BoldItalic" w:eastAsia="Calibri" w:cs="Times New Roman,BoldItalic"/>
          <w:b/>
          <w:bCs/>
          <w:iCs/>
          <w:sz w:val="28"/>
          <w:szCs w:val="28"/>
          <w:lang w:val="tt-RU" w:eastAsia="en-US"/>
        </w:rPr>
        <w:t xml:space="preserve">иностранного </w:t>
      </w:r>
    </w:p>
    <w:p w14:paraId="5CE10F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Italic" w:hAnsi="Times New Roman,BoldItalic" w:eastAsia="Calibri" w:cs="Times New Roman,BoldItalic"/>
          <w:b/>
          <w:bCs/>
          <w:iCs/>
          <w:sz w:val="28"/>
          <w:szCs w:val="28"/>
          <w:lang w:eastAsia="en-US"/>
        </w:rPr>
      </w:pPr>
      <w:r>
        <w:rPr>
          <w:rFonts w:hAnsi="Times New Roman,BoldItalic" w:eastAsia="Calibri" w:cs="Times New Roman,BoldItalic"/>
          <w:b/>
          <w:bCs/>
          <w:iCs/>
          <w:sz w:val="28"/>
          <w:szCs w:val="28"/>
          <w:lang w:val="tt-RU" w:eastAsia="en-US"/>
        </w:rPr>
        <w:t>(английского) языка</w:t>
      </w:r>
    </w:p>
    <w:p w14:paraId="64C75A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eastAsia="Calibri" w:cs="Times New Roman,BoldItalic"/>
          <w:b/>
          <w:bCs/>
          <w:iCs/>
          <w:sz w:val="28"/>
          <w:szCs w:val="28"/>
          <w:lang w:eastAsia="en-US"/>
        </w:rPr>
      </w:pPr>
    </w:p>
    <w:p w14:paraId="699B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eastAsia="Calibri" w:cs="Times New Roman,BoldItalic"/>
          <w:b/>
          <w:bCs/>
          <w:iCs/>
          <w:sz w:val="28"/>
          <w:szCs w:val="28"/>
          <w:lang w:eastAsia="en-US"/>
        </w:rPr>
      </w:pPr>
    </w:p>
    <w:p w14:paraId="2F8B05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eastAsia="Calibri" w:cs="Times New Roman,BoldItalic"/>
          <w:b/>
          <w:bCs/>
          <w:i/>
          <w:iCs/>
          <w:sz w:val="28"/>
          <w:szCs w:val="28"/>
          <w:lang w:eastAsia="en-US"/>
        </w:rPr>
      </w:pPr>
    </w:p>
    <w:p w14:paraId="5ABFCB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eastAsia="Calibri" w:cs="Times New Roman,BoldItalic"/>
          <w:b/>
          <w:bCs/>
          <w:i/>
          <w:iCs/>
          <w:sz w:val="28"/>
          <w:szCs w:val="28"/>
          <w:lang w:eastAsia="en-US"/>
        </w:rPr>
      </w:pPr>
    </w:p>
    <w:p w14:paraId="5E4DBE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eastAsia="Calibri" w:cs="Times New Roman,BoldItalic"/>
          <w:b/>
          <w:bCs/>
          <w:i/>
          <w:iCs/>
          <w:sz w:val="28"/>
          <w:szCs w:val="28"/>
          <w:lang w:eastAsia="en-US"/>
        </w:rPr>
      </w:pPr>
    </w:p>
    <w:p w14:paraId="179A37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eastAsia="Calibri" w:cs="Times New Roman,BoldItalic"/>
          <w:b/>
          <w:bCs/>
          <w:iCs/>
          <w:sz w:val="28"/>
          <w:szCs w:val="28"/>
          <w:lang w:eastAsia="en-US"/>
        </w:rPr>
      </w:pPr>
      <w:r>
        <w:rPr>
          <w:rFonts w:ascii="Times New Roman,BoldItalic" w:hAnsi="Times New Roman,BoldItalic" w:eastAsia="Calibri" w:cs="Times New Roman,BoldItalic"/>
          <w:b/>
          <w:bCs/>
          <w:iCs/>
          <w:sz w:val="28"/>
          <w:szCs w:val="28"/>
          <w:lang w:eastAsia="en-US"/>
        </w:rPr>
        <w:t>г. Нурлат 202</w:t>
      </w:r>
      <w:r>
        <w:rPr>
          <w:rFonts w:hAnsi="Times New Roman,BoldItalic" w:eastAsia="Calibri" w:cs="Times New Roman,BoldItalic"/>
          <w:b/>
          <w:bCs/>
          <w:iCs/>
          <w:sz w:val="28"/>
          <w:szCs w:val="28"/>
          <w:lang w:eastAsia="en-US"/>
        </w:rPr>
        <w:t>5-2026</w:t>
      </w:r>
    </w:p>
    <w:p w14:paraId="58B14032">
      <w:pPr>
        <w:pStyle w:val="8"/>
        <w:tabs>
          <w:tab w:val="left" w:pos="9288"/>
        </w:tabs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2E8C74">
      <w:pPr>
        <w:pStyle w:val="8"/>
        <w:tabs>
          <w:tab w:val="left" w:pos="9288"/>
        </w:tabs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0B4CE4">
      <w:pPr>
        <w:pStyle w:val="8"/>
        <w:tabs>
          <w:tab w:val="left" w:pos="9288"/>
        </w:tabs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277F72">
      <w:pPr>
        <w:pStyle w:val="8"/>
        <w:numPr>
          <w:ilvl w:val="0"/>
          <w:numId w:val="1"/>
        </w:numPr>
        <w:tabs>
          <w:tab w:val="left" w:pos="928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315F0242">
      <w:pPr>
        <w:pStyle w:val="8"/>
        <w:tabs>
          <w:tab w:val="left" w:pos="9288"/>
        </w:tabs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FC271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Данная  программа разработана в соответствии с требованиями Федерального государственного образовательного стандарта начального общего образования (Утверждён приказом Министерства образования и науки Российской Федерации от «6» октября 2009г. №373). Программа составлена   на основе  программы «формула правильного питания», методического пособия «формула правильного питания», авторы Безруких М.М.,  Филипповой Т.А., Макеевой А.Г., предназначенной для учащихся 5-6 классов. Разработана специалистами «Института возрастной физиологии Российской академии образования» на основе Концепции духовно- нравственного воспитания и развития личности гражданина России, примерной программы воспитания и социализации обучающихся, Устава ОУ и Основной образовательной программы ОУ.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 </w:t>
      </w:r>
    </w:p>
    <w:p w14:paraId="4FE5ED4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Программа «Формула правильного питания» допущена министерством образования Российской Федерации.</w:t>
      </w:r>
    </w:p>
    <w:p w14:paraId="3CA5C0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Авторами программы являются Безруких М.М., Филиппова Т.А., Макеева А.Г.</w:t>
      </w:r>
    </w:p>
    <w:p w14:paraId="7F70CB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>Программа способствует воспитанию у детей культуры здоровья, осознанию ими здоровья как главной человеческой ценности. Программа базируется на самостоятельной творческой работе подростков, дающей им возможность проявить себя, найти для себя наиболее интересные и полезные знания. Используя рабочую тетрадь, школьники самостоятельно выстраивают свою формулу правильного питания, помогающую им сохранить и укрепить здоровье.</w:t>
      </w:r>
    </w:p>
    <w:p w14:paraId="5BC930AE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72287C">
      <w:pPr>
        <w:pStyle w:val="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Общая характеристика учебного предмета.</w:t>
      </w:r>
    </w:p>
    <w:p w14:paraId="151A35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Цель программы: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сформировать у школьников основы рационального питания, представление о необходимости заботы о своём здоровье.</w:t>
      </w:r>
    </w:p>
    <w:p w14:paraId="47E02F5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Задачи курса внеурочной деятельности «Формула правильного питания»:</w:t>
      </w:r>
    </w:p>
    <w:p w14:paraId="2CBF4277">
      <w:pPr>
        <w:pStyle w:val="8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расширения знаний школьников о правилах питания, направленных на сохранение и укрепление здоровья, формирования готовности соблюдать эти правила;</w:t>
      </w:r>
    </w:p>
    <w:p w14:paraId="21982CAA">
      <w:pPr>
        <w:pStyle w:val="8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развития навыков правильного питания как составной части здорового образа жизни;</w:t>
      </w:r>
    </w:p>
    <w:p w14:paraId="252FD826">
      <w:pPr>
        <w:pStyle w:val="8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развития представления о правилах этикета, связанных с питанием, осознания того, что навыки этикета являются неотъемлемой частью общей культуры личности;</w:t>
      </w:r>
    </w:p>
    <w:p w14:paraId="4BE6CF35">
      <w:pPr>
        <w:pStyle w:val="8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развития представления о социокультурных аспектах питания, его связи с культурой и историей народа;</w:t>
      </w:r>
    </w:p>
    <w:p w14:paraId="563C5FF3">
      <w:pPr>
        <w:pStyle w:val="8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пробуждения у детей интереса к народным традициям, связанным с питанием, расширения знаний об истории и традициях своего народа, формирования чувства уважения к культуре своего народа и культуре и традициям других народов;</w:t>
      </w:r>
    </w:p>
    <w:p w14:paraId="55B4F4CF">
      <w:pPr>
        <w:pStyle w:val="8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развития творческих способностей, кругозора подростков, умения эффективно взаимодействовать со сверстниками и взрослыми в процессе решения проблемы;</w:t>
      </w:r>
    </w:p>
    <w:p w14:paraId="18450B1A">
      <w:pPr>
        <w:pStyle w:val="8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просвещения родителей в вопросах организации правильного питания детей подросткового возраста.</w:t>
      </w:r>
    </w:p>
    <w:p w14:paraId="3F8096DF">
      <w:pPr>
        <w:pStyle w:val="8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642BF87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«Формула правильного питания»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предназначена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для детей 10—11 лет и  для реализации следующих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воспитательных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образовательных задач</w:t>
      </w:r>
      <w:r>
        <w:rPr>
          <w:rFonts w:ascii="Times New Roman" w:hAnsi="Times New Roman" w:eastAsia="Times New Roman" w:cs="Times New Roman"/>
          <w:sz w:val="24"/>
          <w:szCs w:val="24"/>
        </w:rPr>
        <w:t>:</w:t>
      </w:r>
    </w:p>
    <w:p w14:paraId="0D5B6003">
      <w:pPr>
        <w:pStyle w:val="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Развития представления подростков о здоровье как одной из важнейших человеческих ценностей, формирование готовности заботиться и укреплять собственное здоровье.</w:t>
      </w:r>
    </w:p>
    <w:p w14:paraId="623E0241">
      <w:pPr>
        <w:pStyle w:val="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Расширения знаний подростков о правилах питания, направленных на сохранение и укрепление здоровья, формирования готовности соблюдать эти правила.</w:t>
      </w:r>
    </w:p>
    <w:p w14:paraId="72F339F2">
      <w:pPr>
        <w:pStyle w:val="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Развития навыков правильного питания как составной части здорового образа жизни.</w:t>
      </w:r>
    </w:p>
    <w:p w14:paraId="61B888BF">
      <w:pPr>
        <w:pStyle w:val="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Развития представления о правилах этикета, связанных с питанием, осознания того, что навыки этикета являются неотъемлемой частью общей культуры личности.</w:t>
      </w:r>
    </w:p>
    <w:p w14:paraId="3FCAB3FE">
      <w:pPr>
        <w:pStyle w:val="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Развития представления о социокультурных аспектах питания, его связи с культурой и историей народа.</w:t>
      </w:r>
    </w:p>
    <w:p w14:paraId="7626E7CB">
      <w:pPr>
        <w:pStyle w:val="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Пробуждения у детей интереса к народным традициям, связанным с питанием и здоровьем, расширения знаний об истории и традициях своего народа, формирования чувства уважения к культуре своего народа и культуре и традициям других народов.</w:t>
      </w:r>
    </w:p>
    <w:p w14:paraId="08912C51">
      <w:pPr>
        <w:pStyle w:val="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Развития творческих способностей, кругозора подростков, их интереса к познавательной деятельности.</w:t>
      </w:r>
    </w:p>
    <w:p w14:paraId="61AE3EE4">
      <w:pPr>
        <w:pStyle w:val="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Развития коммуникативных навыков у подростков, умения эффективно взаимодействовать со сверстниками и взрослыми в процессе решения проблемы.</w:t>
      </w:r>
    </w:p>
    <w:p w14:paraId="20D25A58">
      <w:pPr>
        <w:pStyle w:val="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Просвещения родителей в вопросах организации правильного питания детей подросткового возраста.</w:t>
      </w:r>
    </w:p>
    <w:p w14:paraId="7589880C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7CE8C5EE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Содержание учебно-методического комплекта «Формула правильного питания» отвечает следующим 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  <w:t>принципам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:</w:t>
      </w:r>
    </w:p>
    <w:p w14:paraId="0BA5266F">
      <w:pPr>
        <w:pStyle w:val="8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возрастная адекватность — соответствие используемых форм и методов обучения психологическим особенностям младших подростков;</w:t>
      </w:r>
    </w:p>
    <w:p w14:paraId="3545558A">
      <w:pPr>
        <w:pStyle w:val="8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научная обоснованность — содержание комплекта базируется на данных исследований в области питания детей и подростков;</w:t>
      </w:r>
    </w:p>
    <w:p w14:paraId="1569E2F6">
      <w:pPr>
        <w:pStyle w:val="8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практическая целесообразность — содержание комплекта отражает наиболее актуальные проблемы, связанные с организацией питания подростков;</w:t>
      </w:r>
    </w:p>
    <w:p w14:paraId="6B4A95D6">
      <w:pPr>
        <w:pStyle w:val="8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динамическое развитие и системность — содержание комплекта, цели и задачи обучения определялись с учетом тех сведений, оценочных суждений и поведенческих навыков, которые были сформированы у детей в ходе реализации первого и второго модулей программы «Разговор о правильном питании», учебные задачи всех тем взаимосвязаны друг с другом;</w:t>
      </w:r>
    </w:p>
    <w:p w14:paraId="43736DDA">
      <w:pPr>
        <w:pStyle w:val="8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модульность структуры — учебно-методический комплект может использоваться на базе образовательных учреждений различного типа (в общеобразовательных школах, в системе дополнительного образования), а также в учреждениях культуры и в системе семейного воспитания. При этом применяются разнообразные формы реализации (факультативная работа, включение в базовый учебный план, внеклассная работа и т. д.);</w:t>
      </w:r>
    </w:p>
    <w:p w14:paraId="5551F8D8">
      <w:pPr>
        <w:pStyle w:val="8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вовлеченность в реализацию тем программы родителей учащихся;</w:t>
      </w:r>
    </w:p>
    <w:p w14:paraId="3E9E54AB">
      <w:pPr>
        <w:pStyle w:val="8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культурологическая сообразность — в содержании комплекта учитывались исторически сложившиеся традиции питания, являющиеся отражением культуры народа;</w:t>
      </w:r>
    </w:p>
    <w:p w14:paraId="71ADEF49">
      <w:pPr>
        <w:pStyle w:val="8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социально-экономическая адекватность — предлагаемые формы реализации программы не требуют использования дополнительных материальных средств, а рекомендации, которые даются в программе, доступны для реализации.</w:t>
      </w:r>
    </w:p>
    <w:p w14:paraId="6AD93649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4BFF344D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Использование комплекта «Формула правильного питания» в рамках программы «Разговор о правильном питании» направлено на достижение следующих </w:t>
      </w:r>
      <w:r>
        <w:rPr>
          <w:rFonts w:ascii="Times New Roman" w:hAnsi="Times New Roman" w:eastAsia="Times New Roman" w:cs="Times New Roman"/>
          <w:b/>
          <w:i/>
          <w:iCs/>
          <w:sz w:val="24"/>
          <w:szCs w:val="24"/>
        </w:rPr>
        <w:t>результатов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:</w:t>
      </w:r>
    </w:p>
    <w:p w14:paraId="6DAC05DC">
      <w:pPr>
        <w:pStyle w:val="8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полученные знания позволят подросткам ориентироваться в ассортименте наиболее типичных продуктов питания, сознательно выбирая наиболее полезные;</w:t>
      </w:r>
    </w:p>
    <w:p w14:paraId="1F55C360">
      <w:pPr>
        <w:pStyle w:val="8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подростки смогут оценивать и контролировать свой рацион и режим питания с точки зрения соответствия требованиям здорового образа жизни;</w:t>
      </w:r>
    </w:p>
    <w:p w14:paraId="0E38E1F0">
      <w:pPr>
        <w:pStyle w:val="8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подростки научатся самостоятельно оценивать свой рацион питания с точки зрения его адекватности и соответствия образу жизни;</w:t>
      </w:r>
    </w:p>
    <w:p w14:paraId="405F7731">
      <w:pPr>
        <w:pStyle w:val="8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подростки получат дополнительные знания в области истории, литературы, различных сферах искусства, что будет способствовать расширению их общего кругозора;</w:t>
      </w:r>
    </w:p>
    <w:p w14:paraId="1CDEBFC7">
      <w:pPr>
        <w:pStyle w:val="8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подростки получат дополнительные коммуникативные знания и навыки взаимодействия со сверстниками и взрослыми, что повлияет на успешность их социальной адаптации.</w:t>
      </w:r>
    </w:p>
    <w:p w14:paraId="3EB43248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Реализация учебно-методического комплекта «Формула правильного питания» определяется ее модульным характером, что предполагает:</w:t>
      </w:r>
    </w:p>
    <w:p w14:paraId="7A85E3B0">
      <w:pPr>
        <w:pStyle w:val="8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вариативность при выборе площадок для реализации. Она может использоваться в учреждениях различного типа: общеобразовательных школах, гимназиях и лицеях, коррекционных школах, детских домах и интернатах, а также на базе учреждений дополнительного образования;</w:t>
      </w:r>
    </w:p>
    <w:p w14:paraId="61DFBA53">
      <w:pPr>
        <w:pStyle w:val="8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вариативность способов реализации.</w:t>
      </w:r>
    </w:p>
    <w:p w14:paraId="7979FD31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4CB05784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bookmarkStart w:id="0" w:name="t2"/>
      <w:bookmarkEnd w:id="0"/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Методы реализации: у</w:t>
      </w:r>
      <w:r>
        <w:rPr>
          <w:rFonts w:ascii="Times New Roman" w:hAnsi="Times New Roman" w:eastAsia="Times New Roman" w:cs="Times New Roman"/>
          <w:sz w:val="24"/>
          <w:szCs w:val="24"/>
        </w:rPr>
        <w:t>читывая возрастные особенности школьников-подростков — их стремление к самостоятельности, самореализации, при работе программы могут быть использованы следующие методы:</w:t>
      </w:r>
    </w:p>
    <w:p w14:paraId="48268387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Ролевая игра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базируется на изображении ее участниками определенных персонажей, действующих в заданных условиях. В ходе взаимодействия участники игры должны решить поставленную перед ними задачу. Ролевые игры оказываются весьма эффективными при освоении подростками навыков поведения в различных ситуациях.</w:t>
      </w:r>
    </w:p>
    <w:p w14:paraId="2407BD22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Ситуационная игра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предполагает четко заданный сценарий действий и ориентирована на конкретный результат (при изучении темы «Продукты разные важны, блюда разные важны» подростки должны распределить продукты по трем цветным «столам», в зависимости от частоты употребления того или иного продукта в пищу).</w:t>
      </w:r>
    </w:p>
    <w:p w14:paraId="56E62FBA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Образно-ролевые игры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позволяют активизировать конкретно чувственный опыт, сформировать определенное эмоциональное отношение к тому или иному фактору (при изучении темы «Здоровье — это здорово» подростки должны представить пантомиму, изобразив полезные и вредные привычки — игра «Угадайка»).</w:t>
      </w:r>
    </w:p>
    <w:p w14:paraId="705004D4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Проектная деятельность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основывается на творчестве, самостоятельной работе подростков для решения поставленной задачи (в теме «Кулинарная история» подростки готовят викторину для своих одноклассников, посвященную кулинарии в Средние века).</w:t>
      </w:r>
    </w:p>
    <w:p w14:paraId="7939F3D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Дискуссия, обсуждение.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Основная задача заключается в формировании у подростка личной позиции в отношении того или иного вопроса дискуссия может быть организована в форме круглого стола, брейн-ринга и т. п.</w:t>
      </w:r>
    </w:p>
    <w:p w14:paraId="66ADDD55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48700271">
      <w:pPr>
        <w:pStyle w:val="9"/>
        <w:numPr>
          <w:ilvl w:val="0"/>
          <w:numId w:val="2"/>
        </w:numPr>
        <w:ind w:left="0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Описание места внеклассной деятельности  в учебном плане.</w:t>
      </w:r>
    </w:p>
    <w:p w14:paraId="20058C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На прохождение программы  отводится 34 занятия в год. (1ч. в неделю) и проводится во второй половине дня.</w:t>
      </w:r>
    </w:p>
    <w:p w14:paraId="7FE6AC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4C6F7872">
      <w:pPr>
        <w:pStyle w:val="8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Описание ценностных ориентиров содержания программы «Разговор о правильном питании».</w:t>
      </w:r>
    </w:p>
    <w:p w14:paraId="7B789E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Одним из результатов преподавания программы «Разговор о правильном питании» является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решение задач воспитания - осмысление и интериоризация (присвоение) младшими школьниками </w:t>
      </w:r>
      <w:r>
        <w:rPr>
          <w:rFonts w:ascii="Times New Roman" w:hAnsi="Times New Roman" w:cs="Times New Roman"/>
          <w:color w:val="000000"/>
          <w:spacing w:val="-17"/>
          <w:sz w:val="24"/>
          <w:szCs w:val="24"/>
        </w:rPr>
        <w:t>системы ценностей.</w:t>
      </w:r>
    </w:p>
    <w:p w14:paraId="606FE01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Ценность жизни 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признание человеческой жизни величайшей ценностью, что реализуется в </w:t>
      </w:r>
      <w:r>
        <w:rPr>
          <w:rFonts w:ascii="Times New Roman" w:hAnsi="Times New Roman" w:cs="Times New Roman"/>
          <w:color w:val="000000"/>
          <w:spacing w:val="-15"/>
          <w:sz w:val="24"/>
          <w:szCs w:val="24"/>
        </w:rPr>
        <w:t>бережном отношении к другим людям и к природе</w:t>
      </w:r>
    </w:p>
    <w:p w14:paraId="42970D8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Ценность природы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основывается на общечеловеческой ценности жизни, на осознании себя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частью природного мира - частью живой и неживой природы. Любовь к природе - это бережное </w:t>
      </w:r>
      <w:r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отношение к ней как к среде обитания и выживания человека, а также переживание чувства красоты, </w:t>
      </w:r>
      <w:r>
        <w:rPr>
          <w:rFonts w:ascii="Times New Roman" w:hAnsi="Times New Roman" w:cs="Times New Roman"/>
          <w:color w:val="000000"/>
          <w:spacing w:val="-14"/>
          <w:sz w:val="24"/>
          <w:szCs w:val="24"/>
        </w:rPr>
        <w:t>гармонии, её совершенства, сохранение и приумножение её богатства.</w:t>
      </w:r>
    </w:p>
    <w:p w14:paraId="09A1906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4"/>
          <w:sz w:val="24"/>
          <w:szCs w:val="24"/>
        </w:rPr>
        <w:t xml:space="preserve">Ценность человека </w:t>
      </w:r>
      <w:r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как разумного существа, стремящегося к добру и самосовершенствованию,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важность и необходимость соблюдения здорового образа жизни в единстве его составляющих: </w:t>
      </w:r>
      <w:r>
        <w:rPr>
          <w:rFonts w:ascii="Times New Roman" w:hAnsi="Times New Roman" w:cs="Times New Roman"/>
          <w:color w:val="000000"/>
          <w:spacing w:val="-14"/>
          <w:sz w:val="24"/>
          <w:szCs w:val="24"/>
        </w:rPr>
        <w:t>физического, психического и социально-нравственного здоровья.</w:t>
      </w:r>
    </w:p>
    <w:p w14:paraId="131B0D3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</w:rPr>
        <w:t xml:space="preserve">Ценность добра </w:t>
      </w:r>
      <w:r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- направленность человека на развитие и сохранение жизни, через сострадание </w:t>
      </w:r>
      <w:r>
        <w:rPr>
          <w:rFonts w:ascii="Times New Roman" w:hAnsi="Times New Roman" w:cs="Times New Roman"/>
          <w:color w:val="000000"/>
          <w:spacing w:val="-14"/>
          <w:sz w:val="24"/>
          <w:szCs w:val="24"/>
        </w:rPr>
        <w:t>и милосердие как проявление высшей человеческой способности - любви.</w:t>
      </w:r>
    </w:p>
    <w:p w14:paraId="0B2A19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</w:rPr>
        <w:t xml:space="preserve">Ценность истины </w:t>
      </w:r>
      <w:r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- это ценность научного познания как части культуры человечества, разума, </w:t>
      </w:r>
      <w:r>
        <w:rPr>
          <w:rFonts w:ascii="Times New Roman" w:hAnsi="Times New Roman" w:cs="Times New Roman"/>
          <w:color w:val="000000"/>
          <w:spacing w:val="-16"/>
          <w:sz w:val="24"/>
          <w:szCs w:val="24"/>
        </w:rPr>
        <w:t>понимания сущности бытия, миро'здания.</w:t>
      </w:r>
    </w:p>
    <w:p w14:paraId="108A099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Ценность семьи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как первой и самой значимой для развития ребёнка социальной и </w:t>
      </w:r>
      <w:r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образовательной среды, обеспечивающей преемственность культурных традиций народов России от </w:t>
      </w:r>
      <w:r>
        <w:rPr>
          <w:rFonts w:ascii="Times New Roman" w:hAnsi="Times New Roman" w:cs="Times New Roman"/>
          <w:color w:val="000000"/>
          <w:spacing w:val="-15"/>
          <w:sz w:val="24"/>
          <w:szCs w:val="24"/>
        </w:rPr>
        <w:t>поколения к поколению и тем самым жизнеспособность российского общества</w:t>
      </w:r>
    </w:p>
    <w:p w14:paraId="5908DCE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2"/>
          <w:sz w:val="24"/>
          <w:szCs w:val="24"/>
        </w:rPr>
        <w:t xml:space="preserve">Ценность семьи </w:t>
      </w: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как первой и самой значимой для развития ребёнка социальной и </w:t>
      </w:r>
      <w:r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образовательной среды, обеспечивающей преемственность культурных традиций народов России от </w:t>
      </w:r>
      <w:r>
        <w:rPr>
          <w:rFonts w:ascii="Times New Roman" w:hAnsi="Times New Roman" w:cs="Times New Roman"/>
          <w:color w:val="000000"/>
          <w:spacing w:val="-15"/>
          <w:sz w:val="24"/>
          <w:szCs w:val="24"/>
        </w:rPr>
        <w:t>поколения к поколению и тем самым жизнеспособность российского общества.</w:t>
      </w:r>
    </w:p>
    <w:p w14:paraId="482378D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Ценность гражданственности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- осознание человеком себя как члена общества, народа, </w:t>
      </w:r>
      <w:r>
        <w:rPr>
          <w:rFonts w:ascii="Times New Roman" w:hAnsi="Times New Roman" w:cs="Times New Roman"/>
          <w:color w:val="000000"/>
          <w:spacing w:val="-15"/>
          <w:sz w:val="24"/>
          <w:szCs w:val="24"/>
        </w:rPr>
        <w:t>представителя страны и государства.</w:t>
      </w:r>
    </w:p>
    <w:p w14:paraId="3F71969B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0FD08E07">
      <w:pPr>
        <w:pStyle w:val="8"/>
        <w:widowControl w:val="0"/>
        <w:numPr>
          <w:ilvl w:val="0"/>
          <w:numId w:val="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pacing w:val="-11"/>
          <w:sz w:val="24"/>
          <w:szCs w:val="24"/>
        </w:rPr>
      </w:pPr>
      <w:r>
        <w:rPr>
          <w:rFonts w:ascii="Times New Roman" w:hAnsi="Times New Roman" w:cs="Times New Roman"/>
          <w:b/>
          <w:spacing w:val="-11"/>
          <w:sz w:val="24"/>
          <w:szCs w:val="24"/>
        </w:rPr>
        <w:t xml:space="preserve">Личностные, метапредметные и предметные результаты освоения </w:t>
      </w:r>
      <w:r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>программы «Разговор о правильном питании».</w:t>
      </w:r>
    </w:p>
    <w:p w14:paraId="1044EB2E">
      <w:pPr>
        <w:shd w:val="clear" w:color="auto" w:fill="FFFFFF"/>
        <w:tabs>
          <w:tab w:val="left" w:pos="227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2"/>
          <w:sz w:val="24"/>
          <w:szCs w:val="24"/>
        </w:rPr>
        <w:t xml:space="preserve">Универсальными компетенциями </w:t>
      </w: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учащихся на этапе начального общего образования по</w:t>
      </w: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br w:type="textWrapping"/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формированию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здорового и безопасного образа жизни являются:</w:t>
      </w:r>
    </w:p>
    <w:p w14:paraId="22B5724C">
      <w:pPr>
        <w:pStyle w:val="8"/>
        <w:numPr>
          <w:ilvl w:val="0"/>
          <w:numId w:val="8"/>
        </w:numPr>
        <w:shd w:val="clear" w:color="auto" w:fill="FFFFFF"/>
        <w:tabs>
          <w:tab w:val="left" w:pos="798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умения организовывать собственную деятельность, выбирать и использовать средства для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br w:type="textWrapping"/>
      </w:r>
      <w:r>
        <w:rPr>
          <w:rFonts w:ascii="Times New Roman" w:hAnsi="Times New Roman" w:cs="Times New Roman"/>
          <w:color w:val="000000"/>
          <w:spacing w:val="-15"/>
          <w:sz w:val="24"/>
          <w:szCs w:val="24"/>
        </w:rPr>
        <w:t>достижения её цели;</w:t>
      </w:r>
      <w:r>
        <w:rPr>
          <w:rFonts w:ascii="Times New Roman" w:hAnsi="Times New Roman" w:cs="Times New Roman"/>
          <w:color w:val="000000"/>
          <w:spacing w:val="-15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000000"/>
          <w:spacing w:val="-15"/>
          <w:sz w:val="24"/>
          <w:szCs w:val="24"/>
        </w:rPr>
        <w:t>*</w:t>
      </w:r>
    </w:p>
    <w:p w14:paraId="308C1107">
      <w:pPr>
        <w:pStyle w:val="8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умения активно включаться в коллективную деятельность, взаимодействовать со сверстниками в </w:t>
      </w:r>
      <w:r>
        <w:rPr>
          <w:rFonts w:ascii="Times New Roman" w:hAnsi="Times New Roman" w:cs="Times New Roman"/>
          <w:color w:val="000000"/>
          <w:spacing w:val="-16"/>
          <w:sz w:val="24"/>
          <w:szCs w:val="24"/>
        </w:rPr>
        <w:t>достижении общих целей;</w:t>
      </w:r>
    </w:p>
    <w:p w14:paraId="0DDB53F6">
      <w:pPr>
        <w:pStyle w:val="8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умения доносить информацию в доступной, эмоционально-яркой форме в процессе общения и </w:t>
      </w:r>
      <w:r>
        <w:rPr>
          <w:rFonts w:ascii="Times New Roman" w:hAnsi="Times New Roman" w:cs="Times New Roman"/>
          <w:color w:val="000000"/>
          <w:spacing w:val="-15"/>
          <w:sz w:val="24"/>
          <w:szCs w:val="24"/>
        </w:rPr>
        <w:t>взаимодействия со сверстниками и взрослыми людьми.</w:t>
      </w:r>
    </w:p>
    <w:p w14:paraId="1DB1E1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Личностными результатами 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освоения учащимися содержания программы по формированию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здорового и безопасного образа жизни являются следующие умения:</w:t>
      </w:r>
    </w:p>
    <w:p w14:paraId="51413979">
      <w:pPr>
        <w:pStyle w:val="8"/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активно включаться в общение и взаимодействие со сверстниками на принципах уважения и </w:t>
      </w:r>
      <w:r>
        <w:rPr>
          <w:rFonts w:ascii="Times New Roman" w:hAnsi="Times New Roman" w:cs="Times New Roman"/>
          <w:color w:val="000000"/>
          <w:spacing w:val="-15"/>
          <w:sz w:val="24"/>
          <w:szCs w:val="24"/>
        </w:rPr>
        <w:t>доброжелательности, взаимопомощи и сопереживания;</w:t>
      </w:r>
    </w:p>
    <w:p w14:paraId="23E1DCD4">
      <w:pPr>
        <w:pStyle w:val="8"/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ориентироваться в ассортименте наиболее типичных продуктов питания, сознательно выбирая </w:t>
      </w:r>
      <w:r>
        <w:rPr>
          <w:rFonts w:ascii="Times New Roman" w:hAnsi="Times New Roman" w:cs="Times New Roman"/>
          <w:color w:val="000000"/>
          <w:spacing w:val="-17"/>
          <w:sz w:val="24"/>
          <w:szCs w:val="24"/>
        </w:rPr>
        <w:t>наиболее полезные;</w:t>
      </w:r>
    </w:p>
    <w:p w14:paraId="6207CCB4">
      <w:pPr>
        <w:pStyle w:val="8"/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оценивать свой рацион и режим питания с точки зрения соответствия требованиям здорового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образа жизни и с учётом границ личностной активности корректировать несоответствия;</w:t>
      </w:r>
    </w:p>
    <w:p w14:paraId="59A73FE7">
      <w:pPr>
        <w:pStyle w:val="8"/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оказывать бескорыстную помощь своим сверстникам, находить с ними общий язык и общие </w:t>
      </w:r>
      <w:r>
        <w:rPr>
          <w:rFonts w:ascii="Times New Roman" w:hAnsi="Times New Roman" w:cs="Times New Roman"/>
          <w:color w:val="000000"/>
          <w:spacing w:val="-19"/>
          <w:sz w:val="24"/>
          <w:szCs w:val="24"/>
        </w:rPr>
        <w:t>интересы.</w:t>
      </w:r>
    </w:p>
    <w:p w14:paraId="6865FF9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</w:rPr>
        <w:t xml:space="preserve">Метапредметными результатами </w:t>
      </w:r>
      <w:r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освоения учащимися содержания программы по формированию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здорового и безопасного образа жизни являются следующие умения:</w:t>
      </w:r>
    </w:p>
    <w:p w14:paraId="35564AB0">
      <w:pPr>
        <w:pStyle w:val="8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характеризовать явления (действия и поступки), давать им объективную оценку на основе </w:t>
      </w:r>
      <w:r>
        <w:rPr>
          <w:rFonts w:ascii="Times New Roman" w:hAnsi="Times New Roman" w:cs="Times New Roman"/>
          <w:color w:val="000000"/>
          <w:spacing w:val="-15"/>
          <w:sz w:val="24"/>
          <w:szCs w:val="24"/>
        </w:rPr>
        <w:t>освоенных знаний и имеющегося опыта;</w:t>
      </w:r>
    </w:p>
    <w:p w14:paraId="7E5279FC">
      <w:pPr>
        <w:pStyle w:val="8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находить  ошибки  при  выполнении  учебных заданий,  отбирать   способы  их  исправления;</w:t>
      </w:r>
    </w:p>
    <w:p w14:paraId="40903039">
      <w:pPr>
        <w:pStyle w:val="8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использовать различные способы поиска (в справочных источниках и открытом учебном </w:t>
      </w: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информационном пространстве сети Интернет), сбора, обработки, анализа, организации, передачи и 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интерпретации информации в соответствии с коммуникативными и познавательными задачами и </w:t>
      </w:r>
      <w:r>
        <w:rPr>
          <w:rFonts w:ascii="Times New Roman" w:hAnsi="Times New Roman" w:cs="Times New Roman"/>
          <w:color w:val="000000"/>
          <w:spacing w:val="-17"/>
          <w:sz w:val="24"/>
          <w:szCs w:val="24"/>
        </w:rPr>
        <w:t>технологиями;</w:t>
      </w:r>
    </w:p>
    <w:p w14:paraId="7446A6D7">
      <w:pPr>
        <w:pStyle w:val="8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общаться и взаимодействовать со сверстниками на принципах взаимоуважения и взаимопомощи, </w:t>
      </w:r>
      <w:r>
        <w:rPr>
          <w:rFonts w:ascii="Times New Roman" w:hAnsi="Times New Roman" w:cs="Times New Roman"/>
          <w:color w:val="000000"/>
          <w:spacing w:val="-16"/>
          <w:sz w:val="24"/>
          <w:szCs w:val="24"/>
        </w:rPr>
        <w:t>дружбы и толерантности;</w:t>
      </w:r>
    </w:p>
    <w:p w14:paraId="5204BE02">
      <w:pPr>
        <w:pStyle w:val="8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анализировать и объективно оценивать результаты собственного труда, находить возможности и 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способы их улучшения;</w:t>
      </w:r>
    </w:p>
    <w:p w14:paraId="51DDC50D">
      <w:pPr>
        <w:pStyle w:val="8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оценивать красоту телосложения и осанки, сравнивать их с эталонными образцами.</w:t>
      </w:r>
    </w:p>
    <w:p w14:paraId="7C6C2C9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Предметными результатами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освоения учащимися содержания программы по формированию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здорового и безопасного образа жизни являются следующие умения:</w:t>
      </w:r>
    </w:p>
    <w:p w14:paraId="4A2E6BED">
      <w:pPr>
        <w:pStyle w:val="8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планировать занятия физическими упражнениями в режиме дня, организовывать отдых и досуг с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использованием средств физической культуры;</w:t>
      </w:r>
    </w:p>
    <w:p w14:paraId="41ED2A3E">
      <w:pPr>
        <w:pStyle w:val="8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ориентироваться в ассортименте наиболее типичных продуктов питания, сознательно выбирая </w:t>
      </w: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наиболее полезные;</w:t>
      </w:r>
    </w:p>
    <w:p w14:paraId="26843102">
      <w:pPr>
        <w:pStyle w:val="8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оценивать свой рацион и режим питания с точки зрения соответствия требованиям здорового 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образа жизни и с учётом границ личностной активности корректировать несоответствия;</w:t>
      </w:r>
    </w:p>
    <w:p w14:paraId="368772A3">
      <w:pPr>
        <w:pStyle w:val="8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представлять физическую культуру как средство укрепления здоровья, физического развития и 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физической подготовки человека;</w:t>
      </w:r>
    </w:p>
    <w:p w14:paraId="6241FB0A">
      <w:pPr>
        <w:pStyle w:val="8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применять знания и навыки, связанные с этикетом в области питания, установки, личностные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ориентиры и нормы поведения, обеспечивающие сохранение и укрепление физического,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психологического и социального здоровья;</w:t>
      </w:r>
    </w:p>
    <w:p w14:paraId="0E7127C6">
      <w:pPr>
        <w:pStyle w:val="8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организовывать и проводить со сверстниками подвижные игры и элементы соревнований;</w:t>
      </w:r>
    </w:p>
    <w:p w14:paraId="6F34A96A">
      <w:pPr>
        <w:pStyle w:val="8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применять жизненно важные двигательные навыки и умения различными способами, в различных 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изменяющихся, вариативных условиях.</w:t>
      </w:r>
    </w:p>
    <w:p w14:paraId="44FEA88F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284FF71E">
      <w:pPr>
        <w:pStyle w:val="8"/>
        <w:numPr>
          <w:ilvl w:val="0"/>
          <w:numId w:val="2"/>
        </w:numPr>
        <w:tabs>
          <w:tab w:val="left" w:pos="928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учебно-методического комплекта</w:t>
      </w:r>
    </w:p>
    <w:tbl>
      <w:tblPr>
        <w:tblStyle w:val="6"/>
        <w:tblW w:w="957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6"/>
        <w:gridCol w:w="5634"/>
      </w:tblGrid>
      <w:tr w14:paraId="0C5C0A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  <w:vAlign w:val="center"/>
          </w:tcPr>
          <w:p w14:paraId="54EC3D7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Здоровье — это здорово.</w:t>
            </w:r>
          </w:p>
        </w:tc>
        <w:tc>
          <w:tcPr>
            <w:tcW w:w="5634" w:type="dxa"/>
            <w:vAlign w:val="center"/>
          </w:tcPr>
          <w:p w14:paraId="4FBB28F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  <w:t>Значение здорового образа жизни. Культура питания как составляющая культуры здоровья.</w:t>
            </w:r>
          </w:p>
        </w:tc>
      </w:tr>
      <w:tr w14:paraId="2CC3C9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  <w:vAlign w:val="center"/>
          </w:tcPr>
          <w:p w14:paraId="60ECAA6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Продукты разные нужны, продукты разные важны. </w:t>
            </w:r>
          </w:p>
          <w:p w14:paraId="19C51DE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Режим питания.</w:t>
            </w:r>
          </w:p>
        </w:tc>
        <w:tc>
          <w:tcPr>
            <w:tcW w:w="5634" w:type="dxa"/>
            <w:vAlign w:val="center"/>
          </w:tcPr>
          <w:p w14:paraId="7C73DB75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  <w:t xml:space="preserve">Разнообразие рациона как одно из условий рационального питания. </w:t>
            </w:r>
          </w:p>
          <w:p w14:paraId="5320E70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  <w:t>Регулярность питания как одно из условий рационального питания.</w:t>
            </w:r>
          </w:p>
        </w:tc>
      </w:tr>
      <w:tr w14:paraId="722FAE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  <w:vAlign w:val="center"/>
          </w:tcPr>
          <w:p w14:paraId="75B3ABC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Энергия пищи</w:t>
            </w:r>
          </w:p>
        </w:tc>
        <w:tc>
          <w:tcPr>
            <w:tcW w:w="5634" w:type="dxa"/>
            <w:vAlign w:val="center"/>
          </w:tcPr>
          <w:p w14:paraId="7341D2A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  <w:t>Пища как источник энергии для организма. Адекватность рациона питания образу жизни человека.</w:t>
            </w:r>
          </w:p>
        </w:tc>
      </w:tr>
      <w:tr w14:paraId="4605DA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  <w:vAlign w:val="center"/>
          </w:tcPr>
          <w:p w14:paraId="163F4E8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Где и как мы едим.</w:t>
            </w:r>
          </w:p>
          <w:p w14:paraId="355A65F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Ты — покупатель.</w:t>
            </w:r>
          </w:p>
          <w:p w14:paraId="19C4EC7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Ты готовишь себе и друзьям.</w:t>
            </w:r>
          </w:p>
        </w:tc>
        <w:tc>
          <w:tcPr>
            <w:tcW w:w="5634" w:type="dxa"/>
            <w:vAlign w:val="center"/>
          </w:tcPr>
          <w:p w14:paraId="3B3E415B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  <w:t>Гигиена питания.</w:t>
            </w:r>
          </w:p>
          <w:p w14:paraId="41C4F920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  <w:t>Потребительская культура.</w:t>
            </w:r>
          </w:p>
          <w:p w14:paraId="5594A4D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  <w:t>Кулинария, сервировка, этикет, техника безопасности при работе на кухне.</w:t>
            </w:r>
          </w:p>
        </w:tc>
      </w:tr>
      <w:tr w14:paraId="44650D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  <w:vAlign w:val="center"/>
          </w:tcPr>
          <w:p w14:paraId="7EA255B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Кухни разных народов</w:t>
            </w:r>
          </w:p>
        </w:tc>
        <w:tc>
          <w:tcPr>
            <w:tcW w:w="5634" w:type="dxa"/>
            <w:vAlign w:val="center"/>
          </w:tcPr>
          <w:p w14:paraId="68CBAA3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  <w:t>Традиции и обычаи питания в разных странах</w:t>
            </w:r>
          </w:p>
        </w:tc>
      </w:tr>
      <w:tr w14:paraId="018537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  <w:vAlign w:val="center"/>
          </w:tcPr>
          <w:p w14:paraId="6C0C057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Кулинарная история.</w:t>
            </w:r>
          </w:p>
          <w:p w14:paraId="4264CA0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Как питались на Руси и в России.</w:t>
            </w:r>
          </w:p>
          <w:p w14:paraId="53A753B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Необычное кулинарное путешествие.</w:t>
            </w:r>
          </w:p>
        </w:tc>
        <w:tc>
          <w:tcPr>
            <w:tcW w:w="5634" w:type="dxa"/>
          </w:tcPr>
          <w:p w14:paraId="48E94AE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  <w:t>История и культура питания</w:t>
            </w:r>
          </w:p>
        </w:tc>
      </w:tr>
    </w:tbl>
    <w:p w14:paraId="69CB7515">
      <w:pPr>
        <w:pStyle w:val="8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7FFE228C">
      <w:pPr>
        <w:pStyle w:val="8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5AEF83D1">
      <w:pPr>
        <w:pStyle w:val="8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 планирование</w:t>
      </w:r>
    </w:p>
    <w:p w14:paraId="4FFA8D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>
          <w:footerReference r:id="rId5" w:type="default"/>
          <w:pgSz w:w="11906" w:h="16838"/>
          <w:pgMar w:top="851" w:right="850" w:bottom="567" w:left="1701" w:header="708" w:footer="708" w:gutter="0"/>
          <w:cols w:space="708" w:num="1"/>
          <w:titlePg/>
          <w:docGrid w:linePitch="360" w:charSpace="0"/>
        </w:sectPr>
      </w:pPr>
    </w:p>
    <w:tbl>
      <w:tblPr>
        <w:tblStyle w:val="3"/>
        <w:tblpPr w:leftFromText="180" w:rightFromText="180" w:vertAnchor="text" w:tblpXSpec="left" w:tblpY="1"/>
        <w:tblOverlap w:val="never"/>
        <w:tblW w:w="15098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840"/>
        <w:gridCol w:w="153"/>
        <w:gridCol w:w="850"/>
        <w:gridCol w:w="2835"/>
        <w:gridCol w:w="7938"/>
        <w:gridCol w:w="1701"/>
      </w:tblGrid>
      <w:tr w14:paraId="3D443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781" w:type="dxa"/>
            <w:tcBorders>
              <w:bottom w:val="nil"/>
            </w:tcBorders>
          </w:tcPr>
          <w:p w14:paraId="292196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урок</w:t>
            </w:r>
          </w:p>
        </w:tc>
        <w:tc>
          <w:tcPr>
            <w:tcW w:w="1843" w:type="dxa"/>
            <w:gridSpan w:val="3"/>
          </w:tcPr>
          <w:p w14:paraId="3E4C0B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урока</w:t>
            </w:r>
          </w:p>
        </w:tc>
        <w:tc>
          <w:tcPr>
            <w:tcW w:w="2835" w:type="dxa"/>
            <w:vMerge w:val="restart"/>
          </w:tcPr>
          <w:p w14:paraId="1DD6E1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7938" w:type="dxa"/>
            <w:vMerge w:val="restart"/>
          </w:tcPr>
          <w:p w14:paraId="6A800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Возможные виды деятельности обучающихся</w:t>
            </w:r>
          </w:p>
        </w:tc>
        <w:tc>
          <w:tcPr>
            <w:tcW w:w="1701" w:type="dxa"/>
            <w:vMerge w:val="restart"/>
          </w:tcPr>
          <w:p w14:paraId="32068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14:paraId="5AA54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81" w:type="dxa"/>
            <w:tcBorders>
              <w:top w:val="nil"/>
            </w:tcBorders>
          </w:tcPr>
          <w:p w14:paraId="67DB89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4E015D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пл.</w:t>
            </w:r>
          </w:p>
        </w:tc>
        <w:tc>
          <w:tcPr>
            <w:tcW w:w="850" w:type="dxa"/>
          </w:tcPr>
          <w:p w14:paraId="7F7BC1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2835" w:type="dxa"/>
            <w:vMerge w:val="continue"/>
          </w:tcPr>
          <w:p w14:paraId="6C21D0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38" w:type="dxa"/>
            <w:vMerge w:val="continue"/>
          </w:tcPr>
          <w:p w14:paraId="546922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</w:tcPr>
          <w:p w14:paraId="1BA4A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5F26C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15098" w:type="dxa"/>
            <w:gridSpan w:val="7"/>
            <w:tcBorders>
              <w:top w:val="nil"/>
            </w:tcBorders>
          </w:tcPr>
          <w:p w14:paraId="172F4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1: Здоровье – это здорово</w:t>
            </w:r>
          </w:p>
        </w:tc>
      </w:tr>
      <w:tr w14:paraId="1FFCD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61C34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</w:tcPr>
          <w:p w14:paraId="1793F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236B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B8C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AF3C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2260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Здоровье-это здорово. </w:t>
            </w:r>
          </w:p>
        </w:tc>
        <w:tc>
          <w:tcPr>
            <w:tcW w:w="7938" w:type="dxa"/>
            <w:vMerge w:val="restart"/>
          </w:tcPr>
          <w:p w14:paraId="51679C36">
            <w:pPr>
              <w:pStyle w:val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питательных веществах необходимых организму ребёнка;</w:t>
            </w:r>
          </w:p>
          <w:p w14:paraId="0FAF76D8">
            <w:pPr>
              <w:pStyle w:val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Уметь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оценивать характер своего питания, его соответствие понятию «рациональное», «здоровое»</w:t>
            </w:r>
          </w:p>
          <w:p w14:paraId="7A0786DB">
            <w:pPr>
              <w:pStyle w:val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Обобщать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знания о роли правильного питания для здоровья человека;</w:t>
            </w:r>
          </w:p>
          <w:p w14:paraId="0CDFE8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Выявлять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о здоровье как одной из важнейших жизненных ценностей.</w:t>
            </w:r>
          </w:p>
        </w:tc>
        <w:tc>
          <w:tcPr>
            <w:tcW w:w="1701" w:type="dxa"/>
          </w:tcPr>
          <w:p w14:paraId="7A3B9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89B9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556D7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993" w:type="dxa"/>
            <w:gridSpan w:val="2"/>
          </w:tcPr>
          <w:p w14:paraId="3DB2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B5EB9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04B82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мое здоровье</w:t>
            </w:r>
          </w:p>
          <w:p w14:paraId="6FC2F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«Цветик-семицветик»</w:t>
            </w:r>
          </w:p>
        </w:tc>
        <w:tc>
          <w:tcPr>
            <w:tcW w:w="7938" w:type="dxa"/>
            <w:vMerge w:val="continue"/>
          </w:tcPr>
          <w:p w14:paraId="04BB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B393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F7DC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8" w:type="dxa"/>
            <w:gridSpan w:val="7"/>
          </w:tcPr>
          <w:p w14:paraId="6FF998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  Продукты разные нужны, продукты разные важны.</w:t>
            </w:r>
          </w:p>
        </w:tc>
      </w:tr>
      <w:tr w14:paraId="650D5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4E389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993" w:type="dxa"/>
            <w:gridSpan w:val="2"/>
          </w:tcPr>
          <w:p w14:paraId="43F58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B5FB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F7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B1D95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B2983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Продукты разные нужны, продукты разные важны.</w:t>
            </w:r>
          </w:p>
        </w:tc>
        <w:tc>
          <w:tcPr>
            <w:tcW w:w="7938" w:type="dxa"/>
            <w:vMerge w:val="restart"/>
          </w:tcPr>
          <w:p w14:paraId="4252E350">
            <w:pPr>
              <w:pStyle w:val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режиме питания;</w:t>
            </w:r>
          </w:p>
          <w:p w14:paraId="51CD913D">
            <w:pPr>
              <w:pStyle w:val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анализировать свой рацион питания с точки зрения его соответствия принципам правильного питания.</w:t>
            </w:r>
          </w:p>
          <w:p w14:paraId="3305586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в продуктах   основные источники белков, жиров и углеводов, а также витаминов и минеральных веществ.</w:t>
            </w:r>
          </w:p>
        </w:tc>
        <w:tc>
          <w:tcPr>
            <w:tcW w:w="1701" w:type="dxa"/>
          </w:tcPr>
          <w:p w14:paraId="18847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93B1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376CA6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gridSpan w:val="2"/>
          </w:tcPr>
          <w:p w14:paraId="6E47F6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A670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F4DE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витаминах и минеральных веществах</w:t>
            </w:r>
          </w:p>
        </w:tc>
        <w:tc>
          <w:tcPr>
            <w:tcW w:w="7938" w:type="dxa"/>
            <w:vMerge w:val="continue"/>
          </w:tcPr>
          <w:p w14:paraId="4BCCE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0F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9F7A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8" w:type="dxa"/>
            <w:gridSpan w:val="7"/>
          </w:tcPr>
          <w:p w14:paraId="76F468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3. Режим питания</w:t>
            </w:r>
          </w:p>
        </w:tc>
      </w:tr>
      <w:tr w14:paraId="41C54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01B28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gridSpan w:val="2"/>
          </w:tcPr>
          <w:p w14:paraId="6B06A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4626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DBC3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питания</w:t>
            </w:r>
          </w:p>
          <w:p w14:paraId="109200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Merge w:val="restart"/>
          </w:tcPr>
          <w:p w14:paraId="7642577F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Знать о рационе питания, соблюдать режим питания</w:t>
            </w:r>
          </w:p>
        </w:tc>
        <w:tc>
          <w:tcPr>
            <w:tcW w:w="1701" w:type="dxa"/>
          </w:tcPr>
          <w:p w14:paraId="38345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A24F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069CE2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gridSpan w:val="2"/>
          </w:tcPr>
          <w:p w14:paraId="490C8A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CC68D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A6A0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режим питания</w:t>
            </w:r>
          </w:p>
          <w:p w14:paraId="474D9B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Merge w:val="continue"/>
          </w:tcPr>
          <w:p w14:paraId="1A475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AEB2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378A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8" w:type="dxa"/>
            <w:gridSpan w:val="7"/>
          </w:tcPr>
          <w:p w14:paraId="29897C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4. Энергия пищи</w:t>
            </w:r>
          </w:p>
        </w:tc>
      </w:tr>
      <w:tr w14:paraId="22ABB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0E457E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993" w:type="dxa"/>
            <w:gridSpan w:val="2"/>
          </w:tcPr>
          <w:p w14:paraId="3B7BB6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A3DA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7D4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D4F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D3A1E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Энергия пищи</w:t>
            </w:r>
          </w:p>
        </w:tc>
        <w:tc>
          <w:tcPr>
            <w:tcW w:w="7938" w:type="dxa"/>
            <w:vMerge w:val="restart"/>
          </w:tcPr>
          <w:p w14:paraId="69BCB8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представление об адекватности питания, его соответствии образу жизни, возрасту</w:t>
            </w:r>
          </w:p>
          <w:p w14:paraId="5288A1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представление о влиянии питания на внешность человекаформировать представление о пище как источнике энергии, различной энергетической ценности продуктов питания</w:t>
            </w:r>
          </w:p>
          <w:p w14:paraId="6C71D32C">
            <w:pPr>
              <w:pStyle w:val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 правилах гигиены питания, об энергетической ценности различных продуктов питания</w:t>
            </w:r>
          </w:p>
          <w:p w14:paraId="0C8D16F1">
            <w:pPr>
              <w:pStyle w:val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Классифицировать  пищу как источник энергии для организма, </w:t>
            </w:r>
          </w:p>
          <w:p w14:paraId="4E56F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Моделировать питание в соответствии с весом, ростом. Возрастом, образом жизни человека.</w:t>
            </w:r>
          </w:p>
          <w:p w14:paraId="0AF00C6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9B5A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706D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2ADB4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gridSpan w:val="2"/>
          </w:tcPr>
          <w:p w14:paraId="65F309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EFB0C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79C92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 питания</w:t>
            </w:r>
          </w:p>
        </w:tc>
        <w:tc>
          <w:tcPr>
            <w:tcW w:w="7938" w:type="dxa"/>
            <w:vMerge w:val="continue"/>
          </w:tcPr>
          <w:p w14:paraId="17C72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3FB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78BA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8" w:type="dxa"/>
            <w:gridSpan w:val="7"/>
          </w:tcPr>
          <w:p w14:paraId="0EF70E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5. Где и как мы едим</w:t>
            </w:r>
          </w:p>
        </w:tc>
      </w:tr>
      <w:tr w14:paraId="385A0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781" w:type="dxa"/>
          </w:tcPr>
          <w:p w14:paraId="0DBD5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0" w:type="dxa"/>
          </w:tcPr>
          <w:p w14:paraId="32ECF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C27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14:paraId="5F0923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8F1F0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и как мы едим</w:t>
            </w:r>
          </w:p>
        </w:tc>
        <w:tc>
          <w:tcPr>
            <w:tcW w:w="7938" w:type="dxa"/>
            <w:vMerge w:val="restart"/>
          </w:tcPr>
          <w:p w14:paraId="03656A36">
            <w:pPr>
              <w:pStyle w:val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 структуре общественного питания,</w:t>
            </w:r>
          </w:p>
          <w:p w14:paraId="31B70E04">
            <w:pPr>
              <w:pStyle w:val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преимуществах полноценного питания и вреде питания «всухомятку», соблюдать осторожность при использовании в пищу незнакомых продуктов, а также продуктов, которые могут быть испорченными.  Распознавать испорченные продукты, обосновывать правила гигиены во время еды вне дома.</w:t>
            </w:r>
          </w:p>
        </w:tc>
        <w:tc>
          <w:tcPr>
            <w:tcW w:w="1701" w:type="dxa"/>
          </w:tcPr>
          <w:p w14:paraId="1214E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CC54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46E0E5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840" w:type="dxa"/>
          </w:tcPr>
          <w:p w14:paraId="2C76A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14:paraId="3F76C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2991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мини-проект «Мы не дружим с сухомяткой»</w:t>
            </w:r>
          </w:p>
        </w:tc>
        <w:tc>
          <w:tcPr>
            <w:tcW w:w="7938" w:type="dxa"/>
            <w:vMerge w:val="continue"/>
          </w:tcPr>
          <w:p w14:paraId="0F8A2C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B9569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6F90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69D49B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0" w:type="dxa"/>
          </w:tcPr>
          <w:p w14:paraId="08956D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14:paraId="73E74F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0696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и поход</w:t>
            </w:r>
          </w:p>
          <w:p w14:paraId="42A59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Merge w:val="continue"/>
          </w:tcPr>
          <w:p w14:paraId="2AB2B1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2D72C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A48D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8" w:type="dxa"/>
            <w:gridSpan w:val="7"/>
          </w:tcPr>
          <w:p w14:paraId="350B02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6. Ты - покупатель</w:t>
            </w:r>
          </w:p>
        </w:tc>
      </w:tr>
      <w:tr w14:paraId="6276A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2ADDA1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16-17</w:t>
            </w:r>
          </w:p>
        </w:tc>
        <w:tc>
          <w:tcPr>
            <w:tcW w:w="840" w:type="dxa"/>
          </w:tcPr>
          <w:p w14:paraId="6EFC2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14:paraId="66042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7D311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 –покупатель</w:t>
            </w:r>
          </w:p>
          <w:p w14:paraId="5113C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Merge w:val="restart"/>
          </w:tcPr>
          <w:p w14:paraId="658C96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представление о правах и обязанностях покупателя, поведении в сложных ситуациях, которые могут возникать в процессе совершения покупки</w:t>
            </w:r>
          </w:p>
          <w:p w14:paraId="40326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умение использовать информацию, приведенную на упаковке товара.     Знать права и обязанности покупателя.</w:t>
            </w:r>
          </w:p>
          <w:p w14:paraId="5916FC0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 и использовать информацию, приведённую на упаковке продукта, моделировать правила поведения покупателя.</w:t>
            </w:r>
          </w:p>
        </w:tc>
        <w:tc>
          <w:tcPr>
            <w:tcW w:w="1701" w:type="dxa"/>
          </w:tcPr>
          <w:p w14:paraId="75F820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F7AE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2A323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40" w:type="dxa"/>
          </w:tcPr>
          <w:p w14:paraId="171C3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14:paraId="13D16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DF6E4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можно сделать покупку</w:t>
            </w:r>
          </w:p>
        </w:tc>
        <w:tc>
          <w:tcPr>
            <w:tcW w:w="7938" w:type="dxa"/>
            <w:vMerge w:val="continue"/>
          </w:tcPr>
          <w:p w14:paraId="78F0C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42C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8208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8" w:type="dxa"/>
            <w:gridSpan w:val="7"/>
          </w:tcPr>
          <w:p w14:paraId="201F93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7. Ты готовишь себе и друзьям</w:t>
            </w:r>
          </w:p>
        </w:tc>
      </w:tr>
      <w:tr w14:paraId="65CAD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14D0A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40" w:type="dxa"/>
          </w:tcPr>
          <w:p w14:paraId="2B4E0C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14:paraId="572FF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2714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 готовишь себе и друзьям</w:t>
            </w:r>
          </w:p>
          <w:p w14:paraId="629FB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Merge w:val="restart"/>
          </w:tcPr>
          <w:p w14:paraId="5A3A9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представления о правилах безопасного поведения на кухне, при использовании бытовых приборов</w:t>
            </w:r>
          </w:p>
          <w:p w14:paraId="12CDF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представление об этикете и правилах сервировки стола</w:t>
            </w:r>
          </w:p>
          <w:p w14:paraId="1DED7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интерес к процессу приготовления пищи</w:t>
            </w:r>
          </w:p>
          <w:p w14:paraId="4219E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практические навыки приготовления пищи</w:t>
            </w:r>
          </w:p>
          <w:p w14:paraId="5E25FB84">
            <w:pPr>
              <w:pStyle w:val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помогать на кухне, сервировать стол, </w:t>
            </w:r>
          </w:p>
          <w:p w14:paraId="10820427">
            <w:pPr>
              <w:pStyle w:val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 правилах безопасного обращения с кухонной техникой, о правилах этикета;</w:t>
            </w:r>
          </w:p>
          <w:p w14:paraId="0663507A">
            <w:pPr>
              <w:pStyle w:val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Моделировать сервировку стола для различных случаев жизни,</w:t>
            </w:r>
          </w:p>
          <w:p w14:paraId="7A6C487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обобщать правила этикета, распределять обязанности гостя и хозяина, осваивать приготовление пищи дома.</w:t>
            </w:r>
          </w:p>
        </w:tc>
        <w:tc>
          <w:tcPr>
            <w:tcW w:w="1701" w:type="dxa"/>
          </w:tcPr>
          <w:p w14:paraId="09A16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658B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2F4DA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0" w:type="dxa"/>
          </w:tcPr>
          <w:p w14:paraId="2E48A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14:paraId="643249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C1F9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Бытовые приборы для кухни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64B5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Merge w:val="continue"/>
          </w:tcPr>
          <w:p w14:paraId="39BC52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CED5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2754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6E219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40" w:type="dxa"/>
          </w:tcPr>
          <w:p w14:paraId="3C6A4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14:paraId="274F5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4D1E1C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мини-проект «Помощники на кухне»</w:t>
            </w:r>
          </w:p>
        </w:tc>
        <w:tc>
          <w:tcPr>
            <w:tcW w:w="7938" w:type="dxa"/>
            <w:vMerge w:val="continue"/>
          </w:tcPr>
          <w:p w14:paraId="1F7307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4F04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AB33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36D69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40" w:type="dxa"/>
          </w:tcPr>
          <w:p w14:paraId="133FB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14:paraId="3D262F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B28A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Кулинарные секреты</w:t>
            </w:r>
          </w:p>
        </w:tc>
        <w:tc>
          <w:tcPr>
            <w:tcW w:w="7938" w:type="dxa"/>
            <w:vMerge w:val="continue"/>
          </w:tcPr>
          <w:p w14:paraId="1AE2A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416A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FC22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8" w:type="dxa"/>
            <w:gridSpan w:val="7"/>
          </w:tcPr>
          <w:p w14:paraId="646389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8. Кухни разных народов</w:t>
            </w:r>
          </w:p>
        </w:tc>
      </w:tr>
      <w:tr w14:paraId="4C4EB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4316BF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40" w:type="dxa"/>
          </w:tcPr>
          <w:p w14:paraId="6A56F0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14:paraId="19F55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7B1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8FC5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670ED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Кухни разных народов</w:t>
            </w:r>
          </w:p>
        </w:tc>
        <w:tc>
          <w:tcPr>
            <w:tcW w:w="7938" w:type="dxa"/>
            <w:vMerge w:val="restart"/>
          </w:tcPr>
          <w:p w14:paraId="643B40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факторах, которые влияют на особенности национальных кухонь (климат, географическое положение и т.д.)</w:t>
            </w:r>
          </w:p>
          <w:p w14:paraId="1D8C5F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роли национальных кухонь в обеспечении полноценным питанием у жителей разных стран</w:t>
            </w:r>
          </w:p>
          <w:p w14:paraId="567679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чувство уважения и интереса к истории и культуре других народов.    Знать о традициях и обычаях питания в разных страна, об истории и культуре питания на Руси и разных народов.</w:t>
            </w:r>
          </w:p>
          <w:p w14:paraId="13722CA3">
            <w:pPr>
              <w:pStyle w:val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Обобщать особенности национальной кухни,</w:t>
            </w:r>
          </w:p>
          <w:p w14:paraId="3F759B7C">
            <w:pPr>
              <w:pStyle w:val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особенности питания на Руси,</w:t>
            </w:r>
          </w:p>
          <w:p w14:paraId="0A729CF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Обосновывать роль национальной кухни в обеспечении полноценным питанием жителей той или иной местности</w:t>
            </w:r>
          </w:p>
        </w:tc>
        <w:tc>
          <w:tcPr>
            <w:tcW w:w="1701" w:type="dxa"/>
          </w:tcPr>
          <w:p w14:paraId="06390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17DE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3E177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840" w:type="dxa"/>
          </w:tcPr>
          <w:p w14:paraId="5EB38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14:paraId="56419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37A76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проект «Кулинарные праздники»</w:t>
            </w:r>
          </w:p>
        </w:tc>
        <w:tc>
          <w:tcPr>
            <w:tcW w:w="7938" w:type="dxa"/>
            <w:vMerge w:val="continue"/>
          </w:tcPr>
          <w:p w14:paraId="65A654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EDCF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C4EE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8" w:type="dxa"/>
            <w:gridSpan w:val="7"/>
          </w:tcPr>
          <w:p w14:paraId="5B7D8D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9. Кулинарная история</w:t>
            </w:r>
          </w:p>
        </w:tc>
      </w:tr>
      <w:tr w14:paraId="04B88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7B466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40" w:type="dxa"/>
          </w:tcPr>
          <w:p w14:paraId="55E19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14:paraId="491CBC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73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B7F1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Кулинарная история</w:t>
            </w:r>
          </w:p>
        </w:tc>
        <w:tc>
          <w:tcPr>
            <w:tcW w:w="7938" w:type="dxa"/>
            <w:vMerge w:val="restart"/>
          </w:tcPr>
          <w:p w14:paraId="211ACB5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Формировать  представления об истории кулинарии как части истории культуры человечества.</w:t>
            </w:r>
          </w:p>
          <w:p w14:paraId="061FAF8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Расширить  представления о традициях и культуре питания.</w:t>
            </w:r>
          </w:p>
          <w:p w14:paraId="259B93C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Развивать  кругозор  учащихся, их интерес  к изучению истории.   Развивать умения самостоятельно находить необходимую информацию, связанную с историческими событиями.   Развивать  интерес  к чтению.</w:t>
            </w:r>
          </w:p>
        </w:tc>
        <w:tc>
          <w:tcPr>
            <w:tcW w:w="1701" w:type="dxa"/>
          </w:tcPr>
          <w:p w14:paraId="1DDC50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0218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7DA56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840" w:type="dxa"/>
          </w:tcPr>
          <w:p w14:paraId="29EF3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14:paraId="637438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24DD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58CF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проект «Первобытная кулинария»</w:t>
            </w:r>
          </w:p>
        </w:tc>
        <w:tc>
          <w:tcPr>
            <w:tcW w:w="7938" w:type="dxa"/>
            <w:vMerge w:val="continue"/>
          </w:tcPr>
          <w:p w14:paraId="60428E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7ABE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3BC3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7769A6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840" w:type="dxa"/>
          </w:tcPr>
          <w:p w14:paraId="73AB0C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14:paraId="62E012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DA0C8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проект  «Кулинария в Средние века»</w:t>
            </w:r>
          </w:p>
        </w:tc>
        <w:tc>
          <w:tcPr>
            <w:tcW w:w="7938" w:type="dxa"/>
            <w:vMerge w:val="continue"/>
          </w:tcPr>
          <w:p w14:paraId="10642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E4FC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193A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8" w:type="dxa"/>
            <w:gridSpan w:val="7"/>
          </w:tcPr>
          <w:p w14:paraId="0900AA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10. Как питались на Руси  и в России</w:t>
            </w:r>
          </w:p>
        </w:tc>
      </w:tr>
      <w:tr w14:paraId="3D393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3E31ED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40" w:type="dxa"/>
          </w:tcPr>
          <w:p w14:paraId="5C53F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14:paraId="59E83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FB9E6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питались на Руси и в России</w:t>
            </w:r>
          </w:p>
        </w:tc>
        <w:tc>
          <w:tcPr>
            <w:tcW w:w="7938" w:type="dxa"/>
          </w:tcPr>
          <w:p w14:paraId="352FC93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Расширить знания школьников об истории кулинарии, обычаях и традициях своей страны.</w:t>
            </w:r>
          </w:p>
          <w:p w14:paraId="7E6AF52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Развивать  представления о традициях и обычаях питания, способствующих сохранению и укреплению здоровья.</w:t>
            </w:r>
          </w:p>
          <w:p w14:paraId="65F13A3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Формировать  чувства гордости и уважения к истории и культуре своей страны, пробуждение интереса к ее изучению.   Развивать  интерес  к самостоятельной работе с информационными источниками.</w:t>
            </w:r>
          </w:p>
        </w:tc>
        <w:tc>
          <w:tcPr>
            <w:tcW w:w="1701" w:type="dxa"/>
          </w:tcPr>
          <w:p w14:paraId="2543A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17FB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8" w:type="dxa"/>
            <w:gridSpan w:val="7"/>
          </w:tcPr>
          <w:p w14:paraId="6DEE6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11. Необычное кулинарное путешествие</w:t>
            </w:r>
          </w:p>
        </w:tc>
      </w:tr>
      <w:tr w14:paraId="1DFB3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5CCC0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0" w:type="dxa"/>
          </w:tcPr>
          <w:p w14:paraId="136B8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14:paraId="41EB23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465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CE9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C6330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Необычное кулинарное путешествие</w:t>
            </w:r>
          </w:p>
        </w:tc>
        <w:tc>
          <w:tcPr>
            <w:tcW w:w="7938" w:type="dxa"/>
            <w:vMerge w:val="restart"/>
          </w:tcPr>
          <w:p w14:paraId="0D3EA5D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Развивать  представления о связях кулинарии с различными сторонами и аспектами жизни человека.   Развивать представления о правильном питании как составляющей культуры здоровья человека.   Развивать  культурный  кругозор учащихся, формировать  интерес  к различным видам искусства.   Пробуждение интереса к творческой деятельности, чтению.</w:t>
            </w:r>
          </w:p>
        </w:tc>
        <w:tc>
          <w:tcPr>
            <w:tcW w:w="1701" w:type="dxa"/>
          </w:tcPr>
          <w:p w14:paraId="333E6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F4BB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26E0D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840" w:type="dxa"/>
          </w:tcPr>
          <w:p w14:paraId="7934D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14:paraId="38307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AB834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проект «Вкусная картина»</w:t>
            </w:r>
          </w:p>
        </w:tc>
        <w:tc>
          <w:tcPr>
            <w:tcW w:w="7938" w:type="dxa"/>
            <w:vMerge w:val="continue"/>
          </w:tcPr>
          <w:p w14:paraId="3804C8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B9F2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2E6F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Всего: 34 часа</w:t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7C4C9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>
          <w:pgSz w:w="16838" w:h="11906" w:orient="landscape"/>
          <w:pgMar w:top="851" w:right="1134" w:bottom="1701" w:left="1134" w:header="709" w:footer="709" w:gutter="0"/>
          <w:cols w:space="708" w:num="1"/>
          <w:docGrid w:linePitch="360" w:charSpace="0"/>
        </w:sectPr>
      </w:pPr>
    </w:p>
    <w:p w14:paraId="19BD3D38">
      <w:pPr>
        <w:pStyle w:val="8"/>
        <w:widowControl w:val="0"/>
        <w:numPr>
          <w:ilvl w:val="0"/>
          <w:numId w:val="2"/>
        </w:numPr>
        <w:shd w:val="clear" w:color="auto" w:fill="FFFFFF"/>
        <w:tabs>
          <w:tab w:val="left" w:pos="1286"/>
          <w:tab w:val="left" w:pos="3408"/>
          <w:tab w:val="left" w:pos="761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pacing w:val="-1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 xml:space="preserve">Описание </w:t>
      </w:r>
      <w:r>
        <w:rPr>
          <w:rFonts w:ascii="Times New Roman" w:hAnsi="Times New Roman"/>
          <w:b/>
          <w:spacing w:val="-4"/>
          <w:sz w:val="24"/>
          <w:szCs w:val="24"/>
        </w:rPr>
        <w:t xml:space="preserve">материально-технического </w:t>
      </w:r>
      <w:r>
        <w:rPr>
          <w:rFonts w:ascii="Times New Roman" w:hAnsi="Times New Roman"/>
          <w:b/>
          <w:spacing w:val="-6"/>
          <w:sz w:val="24"/>
          <w:szCs w:val="24"/>
        </w:rPr>
        <w:t xml:space="preserve">обеспечения </w:t>
      </w:r>
      <w:r>
        <w:rPr>
          <w:rFonts w:ascii="Times New Roman" w:hAnsi="Times New Roman"/>
          <w:b/>
          <w:sz w:val="24"/>
          <w:szCs w:val="24"/>
        </w:rPr>
        <w:t>образовательного процесса.</w:t>
      </w:r>
    </w:p>
    <w:p w14:paraId="46F0F6C0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Формы занятий, проводимых в рамках данной программы:</w:t>
      </w:r>
    </w:p>
    <w:p w14:paraId="567D3793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Просматривание отрывков из художественных фильмов, журнала «Ералаш», мультфильмов, рассматривание ситуативных иллюстраций, проектная деятельность, игра, викторина, конкурс, выставка, экскурсия, инсценировка, беседа, соревнование.</w:t>
      </w:r>
    </w:p>
    <w:p w14:paraId="17C5C0C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Дидактическое оснащение:</w:t>
      </w:r>
    </w:p>
    <w:p w14:paraId="22250EBA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Карточки – задания, видеоролики, демонстрационный материал, игрушки, книжки, иллюстративный материал, плакаты, тетради для учащихся.</w:t>
      </w:r>
    </w:p>
    <w:p w14:paraId="0EF39322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01F0FD9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6A17EA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98271A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A905AE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3F00856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62A36AD6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1D01FC4E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3849A645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FF45C4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321E493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5F9C98D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A0054B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97EA27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D30ADB6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41DC5A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1548B90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BD16C1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E30850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148E843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282493A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501F39C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F81D4FE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112942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38D1B4EE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E40669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2EB33D4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10179D16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290EFEF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D9A6E1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347FE3F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5D011B7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1AF9EB3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2AC50BC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1EE8781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379976EE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3C08828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AAB39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343187B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62B0D4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1ED997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CD524E5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67E6D8D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6C581B0A">
      <w:pPr>
        <w:pStyle w:val="8"/>
        <w:numPr>
          <w:ilvl w:val="0"/>
          <w:numId w:val="2"/>
        </w:num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Список литературы</w:t>
      </w:r>
    </w:p>
    <w:p w14:paraId="46174D3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DFA1A7C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1. Безруких М.М., Филиппова Т.А., Макеева А.Г. Учебно – методический комплект программы «Разговор о правильном питании», Москва, ОЛМА Медиа Групп, 2009г. /программа разработана в институте возрастной физиологии Российской академии образования при поддержке ООО «Нестле Россия» и допущена министерством образования Российской Федерации/.</w:t>
      </w:r>
    </w:p>
    <w:p w14:paraId="0113929A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2. Безруких М.М., Филиппова Т.А. Рабочая тетрадь «Разговор о правильном питании», М., Просвещение, 2010г.</w:t>
      </w:r>
    </w:p>
    <w:p w14:paraId="5DB41555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 Безруких М.М., Филиппова Т.А., Макеева А.Г. Разговор о правильном питании. Методическое пособие. – М.. ОЛМА Медиа Групп, 2008 г.</w:t>
      </w:r>
    </w:p>
    <w:p w14:paraId="23A1A931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245D17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69B8C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A3F92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3DC6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0EA2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D087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324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6F51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DCB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F5A3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4CE8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ED91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A154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17E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BED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24D7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218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47FF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CB3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C0C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8819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A052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5142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FC25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0BD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2699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90B3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DFDF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6713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B813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B9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340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imes New Roman,BoldItalic">
    <w:altName w:val="Times New Roman"/>
    <w:panose1 w:val="00000000000000000000"/>
    <w:charset w:val="CC"/>
    <w:family w:val="auto"/>
    <w:pitch w:val="default"/>
    <w:sig w:usb0="00000000" w:usb1="00000000" w:usb2="00000000" w:usb3="00000000" w:csb0="00000005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779523">
    <w:pPr>
      <w:pStyle w:val="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4</w:t>
    </w:r>
    <w:r>
      <w:fldChar w:fldCharType="end"/>
    </w:r>
  </w:p>
  <w:p w14:paraId="600BF8AF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0000002"/>
    <w:multiLevelType w:val="multilevel"/>
    <w:tmpl w:val="00000002"/>
    <w:lvl w:ilvl="0" w:tentative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>
    <w:nsid w:val="00000006"/>
    <w:multiLevelType w:val="multilevel"/>
    <w:tmpl w:val="00000006"/>
    <w:lvl w:ilvl="0" w:tentative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0000008"/>
    <w:multiLevelType w:val="multilevel"/>
    <w:tmpl w:val="00000008"/>
    <w:lvl w:ilvl="0" w:tentative="0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4">
    <w:nsid w:val="00000009"/>
    <w:multiLevelType w:val="multilevel"/>
    <w:tmpl w:val="00000009"/>
    <w:lvl w:ilvl="0" w:tentative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>
    <w:nsid w:val="0000000E"/>
    <w:multiLevelType w:val="multilevel"/>
    <w:tmpl w:val="0000000E"/>
    <w:lvl w:ilvl="0" w:tentative="0">
      <w:start w:val="1"/>
      <w:numFmt w:val="bullet"/>
      <w:lvlText w:val=""/>
      <w:lvlJc w:val="left"/>
      <w:pPr>
        <w:ind w:left="-34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371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091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1811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2531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251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3971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4691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5411" w:hanging="360"/>
      </w:pPr>
      <w:rPr>
        <w:rFonts w:hint="default" w:ascii="Wingdings" w:hAnsi="Wingdings"/>
      </w:rPr>
    </w:lvl>
  </w:abstractNum>
  <w:abstractNum w:abstractNumId="6">
    <w:nsid w:val="0000000F"/>
    <w:multiLevelType w:val="multilevel"/>
    <w:tmpl w:val="0000000F"/>
    <w:lvl w:ilvl="0" w:tentative="0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149" w:hanging="360"/>
      </w:pPr>
    </w:lvl>
    <w:lvl w:ilvl="2" w:tentative="0">
      <w:start w:val="1"/>
      <w:numFmt w:val="lowerRoman"/>
      <w:lvlText w:val="%3."/>
      <w:lvlJc w:val="right"/>
      <w:pPr>
        <w:ind w:left="2869" w:hanging="180"/>
      </w:pPr>
    </w:lvl>
    <w:lvl w:ilvl="3" w:tentative="0">
      <w:start w:val="1"/>
      <w:numFmt w:val="decimal"/>
      <w:lvlText w:val="%4."/>
      <w:lvlJc w:val="left"/>
      <w:pPr>
        <w:ind w:left="3589" w:hanging="360"/>
      </w:pPr>
    </w:lvl>
    <w:lvl w:ilvl="4" w:tentative="0">
      <w:start w:val="1"/>
      <w:numFmt w:val="lowerLetter"/>
      <w:lvlText w:val="%5."/>
      <w:lvlJc w:val="left"/>
      <w:pPr>
        <w:ind w:left="4309" w:hanging="360"/>
      </w:pPr>
    </w:lvl>
    <w:lvl w:ilvl="5" w:tentative="0">
      <w:start w:val="1"/>
      <w:numFmt w:val="lowerRoman"/>
      <w:lvlText w:val="%6."/>
      <w:lvlJc w:val="right"/>
      <w:pPr>
        <w:ind w:left="5029" w:hanging="180"/>
      </w:pPr>
    </w:lvl>
    <w:lvl w:ilvl="6" w:tentative="0">
      <w:start w:val="1"/>
      <w:numFmt w:val="decimal"/>
      <w:lvlText w:val="%7."/>
      <w:lvlJc w:val="left"/>
      <w:pPr>
        <w:ind w:left="5749" w:hanging="360"/>
      </w:pPr>
    </w:lvl>
    <w:lvl w:ilvl="7" w:tentative="0">
      <w:start w:val="1"/>
      <w:numFmt w:val="lowerLetter"/>
      <w:lvlText w:val="%8."/>
      <w:lvlJc w:val="left"/>
      <w:pPr>
        <w:ind w:left="6469" w:hanging="360"/>
      </w:pPr>
    </w:lvl>
    <w:lvl w:ilvl="8" w:tentative="0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00000010"/>
    <w:multiLevelType w:val="multilevel"/>
    <w:tmpl w:val="00000010"/>
    <w:lvl w:ilvl="0" w:tentative="0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8">
    <w:nsid w:val="00000012"/>
    <w:multiLevelType w:val="multilevel"/>
    <w:tmpl w:val="00000012"/>
    <w:lvl w:ilvl="0" w:tentative="0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9">
    <w:nsid w:val="00000014"/>
    <w:multiLevelType w:val="multilevel"/>
    <w:tmpl w:val="00000014"/>
    <w:lvl w:ilvl="0" w:tentative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>
    <w:nsid w:val="00000019"/>
    <w:multiLevelType w:val="multilevel"/>
    <w:tmpl w:val="00000019"/>
    <w:lvl w:ilvl="0" w:tentative="0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9"/>
  </w:num>
  <w:num w:numId="7">
    <w:abstractNumId w:val="4"/>
  </w:num>
  <w:num w:numId="8">
    <w:abstractNumId w:val="8"/>
  </w:num>
  <w:num w:numId="9">
    <w:abstractNumId w:val="3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7775AA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SimSun" w:cs="SimSu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qFormat="1" w:unhideWhenUsed="0" w:uiPriority="99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SimSun" w:cs="SimSun"/>
      <w:sz w:val="22"/>
      <w:szCs w:val="22"/>
      <w:lang w:val="ru-RU" w:eastAsia="ru-RU" w:bidi="ar-SA"/>
    </w:rPr>
  </w:style>
  <w:style w:type="character" w:default="1" w:styleId="2">
    <w:name w:val="Default Paragraph Font"/>
    <w:uiPriority w:val="1"/>
  </w:style>
  <w:style w:type="table" w:default="1" w:styleId="3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16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5">
    <w:name w:val="footer"/>
    <w:basedOn w:val="1"/>
    <w:link w:val="17"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6">
    <w:name w:val="Table Grid"/>
    <w:basedOn w:val="3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Standard"/>
    <w:uiPriority w:val="99"/>
    <w:pPr>
      <w:widowControl w:val="0"/>
      <w:suppressAutoHyphens/>
      <w:autoSpaceDN w:val="0"/>
      <w:spacing w:after="0" w:line="240" w:lineRule="auto"/>
    </w:pPr>
    <w:rPr>
      <w:rFonts w:ascii="Calibri" w:hAnsi="Calibri" w:eastAsia="Calibri" w:cs="Calibri"/>
      <w:kern w:val="3"/>
      <w:sz w:val="24"/>
      <w:szCs w:val="24"/>
      <w:lang w:val="en-US" w:eastAsia="en-US" w:bidi="ar-SA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paragraph" w:customStyle="1" w:styleId="9">
    <w:name w:val="Без интервала1"/>
    <w:qFormat/>
    <w:uiPriority w:val="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paragraph" w:customStyle="1" w:styleId="10">
    <w:name w:val="c0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11">
    <w:name w:val="c1"/>
    <w:basedOn w:val="2"/>
    <w:uiPriority w:val="0"/>
  </w:style>
  <w:style w:type="paragraph" w:customStyle="1" w:styleId="12">
    <w:name w:val="c6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13">
    <w:name w:val="c14"/>
    <w:basedOn w:val="2"/>
    <w:uiPriority w:val="0"/>
  </w:style>
  <w:style w:type="character" w:customStyle="1" w:styleId="14">
    <w:name w:val="c23"/>
    <w:basedOn w:val="2"/>
    <w:uiPriority w:val="0"/>
  </w:style>
  <w:style w:type="paragraph" w:styleId="15">
    <w:name w:val="No Spacing"/>
    <w:qFormat/>
    <w:uiPriority w:val="99"/>
    <w:pPr>
      <w:spacing w:after="0" w:line="240" w:lineRule="auto"/>
    </w:pPr>
    <w:rPr>
      <w:rFonts w:ascii="Calibri" w:hAnsi="Calibri" w:eastAsia="Times New Roman" w:cs="Calibri"/>
      <w:sz w:val="22"/>
      <w:szCs w:val="22"/>
      <w:lang w:val="ru-RU" w:eastAsia="en-US" w:bidi="ar-SA"/>
    </w:rPr>
  </w:style>
  <w:style w:type="character" w:customStyle="1" w:styleId="16">
    <w:name w:val="Верхний колонтитул Знак"/>
    <w:basedOn w:val="2"/>
    <w:link w:val="4"/>
    <w:uiPriority w:val="99"/>
  </w:style>
  <w:style w:type="character" w:customStyle="1" w:styleId="17">
    <w:name w:val="Нижний колонтитул Знак"/>
    <w:basedOn w:val="2"/>
    <w:link w:val="5"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11</Pages>
  <Words>2614</Words>
  <Characters>18917</Characters>
  <Paragraphs>526</Paragraphs>
  <TotalTime>902</TotalTime>
  <ScaleCrop>false</ScaleCrop>
  <LinksUpToDate>false</LinksUpToDate>
  <CharactersWithSpaces>21387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2024-08-19T13:41:00Z</dcterms:created>
  <dc:creator>User</dc:creator>
  <cp:lastModifiedBy>Gimnazy</cp:lastModifiedBy>
  <cp:lastPrinted>2018-09-11T13:11:00Z</cp:lastPrinted>
  <dcterms:modified xsi:type="dcterms:W3CDTF">2026-01-13T14:39:45Z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A2EE26FDC43A46D8851C295D0CA643BE_13</vt:lpwstr>
  </property>
  <property fmtid="{D5CDD505-2E9C-101B-9397-08002B2CF9AE}" pid="3" name="KSOProductBuildVer">
    <vt:lpwstr>1049-12.2.0.23155</vt:lpwstr>
  </property>
</Properties>
</file>